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8FF" w:rsidRPr="008E7320" w:rsidRDefault="006158FF" w:rsidP="006158FF">
      <w:pPr>
        <w:keepNext/>
        <w:tabs>
          <w:tab w:val="left" w:pos="575"/>
        </w:tabs>
        <w:ind w:left="575" w:hanging="575"/>
      </w:pPr>
      <w:r w:rsidRPr="008E7320">
        <w:t>Université Libanaise</w:t>
      </w:r>
    </w:p>
    <w:p w:rsidR="006158FF" w:rsidRPr="008E7320" w:rsidRDefault="006158FF" w:rsidP="006158FF">
      <w:pPr>
        <w:keepNext/>
        <w:tabs>
          <w:tab w:val="left" w:pos="575"/>
        </w:tabs>
        <w:ind w:left="575" w:hanging="575"/>
        <w:rPr>
          <w:bCs/>
        </w:rPr>
      </w:pPr>
      <w:r w:rsidRPr="008E7320">
        <w:rPr>
          <w:bCs/>
        </w:rPr>
        <w:t>Stéphane-Ahmad HAFEZ</w:t>
      </w:r>
    </w:p>
    <w:p w:rsidR="006158FF" w:rsidRDefault="006158FF" w:rsidP="006158FF">
      <w:pPr>
        <w:keepNext/>
        <w:tabs>
          <w:tab w:val="left" w:pos="575"/>
        </w:tabs>
        <w:rPr>
          <w:b/>
          <w:bCs/>
        </w:rPr>
      </w:pPr>
    </w:p>
    <w:p w:rsidR="006158FF" w:rsidRDefault="006158FF" w:rsidP="006158FF">
      <w:pPr>
        <w:keepNext/>
        <w:tabs>
          <w:tab w:val="left" w:pos="575"/>
        </w:tabs>
        <w:ind w:left="575" w:hanging="575"/>
        <w:jc w:val="center"/>
        <w:rPr>
          <w:b/>
          <w:bCs/>
        </w:rPr>
      </w:pPr>
      <w:r>
        <w:rPr>
          <w:b/>
          <w:bCs/>
        </w:rPr>
        <w:t>Quel environnement francophone pour le français au Liban ?</w:t>
      </w:r>
    </w:p>
    <w:p w:rsidR="006158FF" w:rsidRPr="008E7320" w:rsidRDefault="006158FF" w:rsidP="006158FF">
      <w:pPr>
        <w:keepNext/>
        <w:tabs>
          <w:tab w:val="left" w:pos="575"/>
        </w:tabs>
        <w:ind w:left="575" w:hanging="575"/>
        <w:jc w:val="center"/>
        <w:rPr>
          <w:b/>
          <w:bCs/>
        </w:rPr>
      </w:pPr>
    </w:p>
    <w:p w:rsidR="006158FF" w:rsidRDefault="006158FF" w:rsidP="006158FF">
      <w:pPr>
        <w:ind w:firstLine="567"/>
        <w:jc w:val="both"/>
      </w:pPr>
      <w:r>
        <w:t>Le Liban est l’un des rares pays de la région ayant adopté une politique linguistique conciliatrice et libérale</w:t>
      </w:r>
      <w:r>
        <w:rPr>
          <w:sz w:val="18"/>
          <w:szCs w:val="18"/>
          <w:vertAlign w:val="superscript"/>
        </w:rPr>
        <w:footnoteReference w:id="1"/>
      </w:r>
      <w:r>
        <w:t xml:space="preserve"> en faveur des langues étrangères. Historiquement c’est le français qui y jouit d’un statut privilégié, à côté de l’arabe, la seule langue officielle de l’Etat. 71.1% des écoles publiques enseignent le français comme première langue étrangère</w:t>
      </w:r>
      <w:r>
        <w:rPr>
          <w:sz w:val="18"/>
          <w:szCs w:val="18"/>
          <w:vertAlign w:val="superscript"/>
        </w:rPr>
        <w:footnoteReference w:id="2"/>
      </w:r>
      <w:r>
        <w:t xml:space="preserve">. </w:t>
      </w:r>
      <w:r w:rsidRPr="0011565B">
        <w:t xml:space="preserve">Les signalisations et </w:t>
      </w:r>
      <w:r>
        <w:t xml:space="preserve">surtout </w:t>
      </w:r>
      <w:r w:rsidRPr="0011565B">
        <w:t xml:space="preserve">les plaques d’immatriculation </w:t>
      </w:r>
      <w:r>
        <w:t xml:space="preserve">sont bilingues arabe/français. Une chaîne de télévision Canal 9 qui retransmet en direct 24/ sur 24 heures les programmes de TV5 Moyen-Orient et une station de radio étatique (radio Liban 96.2) sont même dédiées à la langue française. </w:t>
      </w:r>
    </w:p>
    <w:p w:rsidR="006158FF" w:rsidRDefault="006158FF" w:rsidP="006158FF">
      <w:pPr>
        <w:ind w:firstLine="567"/>
        <w:jc w:val="both"/>
      </w:pPr>
    </w:p>
    <w:p w:rsidR="006158FF" w:rsidRDefault="006158FF" w:rsidP="006158FF">
      <w:pPr>
        <w:ind w:firstLine="567"/>
        <w:jc w:val="both"/>
        <w:rPr>
          <w:spacing w:val="4"/>
        </w:rPr>
      </w:pPr>
      <w:r>
        <w:t>Toutefois, l’anglo-américain gagne du terrain dans certains domaines qui étaient autrefois réservés au français. Tel est le constat que font de nombreuses études sociolinguistiques</w:t>
      </w:r>
      <w:r>
        <w:rPr>
          <w:spacing w:val="4"/>
          <w:vertAlign w:val="superscript"/>
        </w:rPr>
        <w:footnoteReference w:id="3"/>
      </w:r>
      <w:r>
        <w:rPr>
          <w:spacing w:val="4"/>
        </w:rPr>
        <w:t>.</w:t>
      </w:r>
      <w:r>
        <w:t xml:space="preserve"> En effet, l</w:t>
      </w:r>
      <w:r>
        <w:rPr>
          <w:spacing w:val="4"/>
        </w:rPr>
        <w:t>e</w:t>
      </w:r>
      <w:r>
        <w:t>s universités privées font de l’anglais un médium d’enseignement dans les spécialités offrant de larges débouchés, comme la comptabilité, la gestion, le management, les technologies de l’information et de la communication.</w:t>
      </w:r>
      <w:r>
        <w:rPr>
          <w:spacing w:val="4"/>
        </w:rPr>
        <w:t xml:space="preserve"> A leur tour, </w:t>
      </w:r>
      <w:r>
        <w:t>les banques nationales et étrangères effectuent leurs opérations en arabe et surtout en anglais (chèques, carnets de compte etc.). Les hôtels adoptent aussi cette langue dans la communication interne et externe. Les chaînes de télévision n’échappent pas à la règle, encore moins la publicité</w:t>
      </w:r>
      <w:r>
        <w:rPr>
          <w:spacing w:val="4"/>
        </w:rPr>
        <w:t xml:space="preserve">.  </w:t>
      </w:r>
    </w:p>
    <w:p w:rsidR="006158FF" w:rsidRDefault="006158FF" w:rsidP="006158FF">
      <w:pPr>
        <w:ind w:firstLine="567"/>
        <w:jc w:val="both"/>
        <w:rPr>
          <w:spacing w:val="4"/>
        </w:rPr>
      </w:pPr>
    </w:p>
    <w:p w:rsidR="006158FF" w:rsidRDefault="006158FF" w:rsidP="006158FF">
      <w:pPr>
        <w:ind w:firstLine="567"/>
        <w:jc w:val="both"/>
      </w:pPr>
      <w:r>
        <w:t xml:space="preserve">L’anglo-américain séduit des adolescents tournés vers l’Occident. Il suffit de faire un petit tour dans les coins branchés de Beyrouth pour se rendre à l’évidence : des jeunes communiquent en anglais ou en anglo-arabe alors qu’ils ont suivi une scolarité de douze ans en français. Il s’agit d’un effet de mode, dira-t-on ! Certes, la mondialisation y est pour quelque chose, mais il est temps de voir la réalité : il existe un hiatus entre les connaissances scolaires de l’apprenant et sa capacité à mobiliser ces connaissances en dehors de l’école et même en dehors de la classe de langue. Sans aucun doute, ce phénomène est aggravé par le fait que le français n’a pas un prolongement social ou professionnel suffisant. </w:t>
      </w:r>
    </w:p>
    <w:p w:rsidR="006158FF" w:rsidRDefault="006158FF" w:rsidP="006158FF">
      <w:pPr>
        <w:ind w:firstLine="567"/>
        <w:jc w:val="both"/>
      </w:pPr>
      <w:r>
        <w:t>Face à cette situation alarmante, quelle position conviendrait-il d’adopter ? Serait-il admissible de ne pas prêter main forte à la plus ancienne francophonie dans la région ? N’y aurait-il pas moyen de redorer le blason du français auprès des jeunes générations qui continuent</w:t>
      </w:r>
      <w:r w:rsidRPr="0011565B">
        <w:t>, bon gré, mal gré à se</w:t>
      </w:r>
      <w:r>
        <w:t xml:space="preserve"> former dans cette langue?  </w:t>
      </w:r>
    </w:p>
    <w:p w:rsidR="006158FF" w:rsidRDefault="006158FF" w:rsidP="006158FF">
      <w:pPr>
        <w:ind w:firstLine="567"/>
        <w:jc w:val="both"/>
      </w:pPr>
    </w:p>
    <w:p w:rsidR="006158FF" w:rsidRDefault="006158FF" w:rsidP="006158FF">
      <w:pPr>
        <w:ind w:firstLine="567"/>
        <w:jc w:val="both"/>
      </w:pPr>
      <w:r>
        <w:t xml:space="preserve">Pour tenter de répondre à ces questions, il sera nécessaire d’analyser la situation réelle du français par rapport à l’anglais et à l’arabe. D’abord, nous évaluerons sa présence dans les médias. Ensuite, nous nous pencherons sur les langues requises dans les offres d’emploi. Puis, nous recenserons les langues utilisées sur les enseignes dans quelques quartiers de Beyrouth. Ce bref état des lieux du français au Liban sera complété par un sondage auprès des étudiants sur les pratiques linguistiques </w:t>
      </w:r>
      <w:r w:rsidRPr="0011565B">
        <w:t>notamment « la</w:t>
      </w:r>
      <w:r>
        <w:rPr>
          <w:color w:val="FF0000"/>
        </w:rPr>
        <w:t xml:space="preserve"> </w:t>
      </w:r>
      <w:r>
        <w:t xml:space="preserve">consommation des moyens de communication de masse, selon l’appellation de R.Chaudenson.  </w:t>
      </w:r>
    </w:p>
    <w:p w:rsidR="006158FF" w:rsidRDefault="006158FF" w:rsidP="006158FF">
      <w:pPr>
        <w:jc w:val="both"/>
        <w:rPr>
          <w:b/>
          <w:bCs/>
        </w:rPr>
      </w:pPr>
    </w:p>
    <w:p w:rsidR="006158FF" w:rsidRDefault="006158FF" w:rsidP="006158FF">
      <w:pPr>
        <w:tabs>
          <w:tab w:val="left" w:pos="0"/>
        </w:tabs>
        <w:jc w:val="both"/>
        <w:rPr>
          <w:b/>
          <w:bCs/>
        </w:rPr>
      </w:pPr>
    </w:p>
    <w:p w:rsidR="006158FF" w:rsidRDefault="006158FF" w:rsidP="006158FF">
      <w:pPr>
        <w:tabs>
          <w:tab w:val="left" w:pos="0"/>
        </w:tabs>
        <w:ind w:left="720" w:hanging="360"/>
        <w:jc w:val="both"/>
        <w:rPr>
          <w:b/>
          <w:bCs/>
        </w:rPr>
      </w:pPr>
      <w:r>
        <w:rPr>
          <w:b/>
          <w:bCs/>
        </w:rPr>
        <w:t xml:space="preserve">Etat des lieux de l’environnement francophone au Liban </w:t>
      </w:r>
    </w:p>
    <w:p w:rsidR="006158FF" w:rsidRDefault="006158FF" w:rsidP="006158FF">
      <w:pPr>
        <w:jc w:val="both"/>
        <w:rPr>
          <w:b/>
          <w:bCs/>
          <w:spacing w:val="4"/>
        </w:rPr>
      </w:pPr>
    </w:p>
    <w:p w:rsidR="006158FF" w:rsidRDefault="006158FF" w:rsidP="006158FF">
      <w:pPr>
        <w:jc w:val="both"/>
        <w:rPr>
          <w:b/>
          <w:bCs/>
          <w:i/>
          <w:iCs/>
          <w:spacing w:val="4"/>
        </w:rPr>
      </w:pPr>
      <w:r>
        <w:rPr>
          <w:b/>
          <w:bCs/>
          <w:spacing w:val="4"/>
        </w:rPr>
        <w:t>1. Médias</w:t>
      </w:r>
      <w:r>
        <w:rPr>
          <w:sz w:val="20"/>
          <w:szCs w:val="20"/>
          <w:vertAlign w:val="superscript"/>
        </w:rPr>
        <w:footnoteReference w:id="4"/>
      </w:r>
    </w:p>
    <w:p w:rsidR="006158FF" w:rsidRDefault="006158FF" w:rsidP="006158FF">
      <w:pPr>
        <w:jc w:val="both"/>
        <w:rPr>
          <w:b/>
          <w:bCs/>
          <w:i/>
          <w:iCs/>
          <w:spacing w:val="4"/>
        </w:rPr>
      </w:pPr>
      <w:r>
        <w:rPr>
          <w:b/>
          <w:bCs/>
          <w:i/>
          <w:iCs/>
          <w:spacing w:val="4"/>
        </w:rPr>
        <w:t xml:space="preserve">1.1 Télévision </w:t>
      </w:r>
    </w:p>
    <w:p w:rsidR="006158FF" w:rsidRDefault="006158FF" w:rsidP="006158FF">
      <w:pPr>
        <w:jc w:val="both"/>
        <w:rPr>
          <w:spacing w:val="4"/>
        </w:rPr>
      </w:pPr>
    </w:p>
    <w:p w:rsidR="006158FF" w:rsidRDefault="006158FF" w:rsidP="006158FF">
      <w:pPr>
        <w:jc w:val="both"/>
        <w:rPr>
          <w:spacing w:val="4"/>
        </w:rPr>
      </w:pPr>
      <w:r>
        <w:rPr>
          <w:spacing w:val="4"/>
        </w:rPr>
        <w:t>Les grilles de programmes de télévision des neuf chaînes hertziennes que nous avons consultées,</w:t>
      </w:r>
      <w:r>
        <w:t xml:space="preserve"> </w:t>
      </w:r>
      <w:r>
        <w:rPr>
          <w:spacing w:val="4"/>
        </w:rPr>
        <w:t xml:space="preserve">révèlent qu’en moyenne </w:t>
      </w:r>
      <w:r w:rsidRPr="0011565B">
        <w:rPr>
          <w:spacing w:val="4"/>
        </w:rPr>
        <w:t>55% des programmes sont en arabe, 30% en anglais et 15% en françai</w:t>
      </w:r>
      <w:r>
        <w:rPr>
          <w:spacing w:val="4"/>
        </w:rPr>
        <w:t>s</w:t>
      </w:r>
      <w:r w:rsidRPr="0011565B">
        <w:rPr>
          <w:spacing w:val="4"/>
          <w:vertAlign w:val="superscript"/>
        </w:rPr>
        <w:footnoteReference w:id="5"/>
      </w:r>
      <w:r w:rsidRPr="0011565B">
        <w:rPr>
          <w:spacing w:val="4"/>
        </w:rPr>
        <w:t xml:space="preserve">(sans compter </w:t>
      </w:r>
      <w:r>
        <w:rPr>
          <w:spacing w:val="4"/>
        </w:rPr>
        <w:t xml:space="preserve">la chaine francophone </w:t>
      </w:r>
      <w:r w:rsidRPr="0011565B">
        <w:rPr>
          <w:spacing w:val="4"/>
        </w:rPr>
        <w:t>TV5). D’une manière générale, la langue française reste limitée aux retransmissions des journaux télévisés, aux magazines culturels et aux jeux télévisés (mais aussi aux programmes pour enfants, voir Al Manar)</w:t>
      </w:r>
      <w:r>
        <w:rPr>
          <w:color w:val="FF0000"/>
          <w:spacing w:val="4"/>
        </w:rPr>
        <w:t xml:space="preserve"> </w:t>
      </w:r>
      <w:r>
        <w:rPr>
          <w:spacing w:val="4"/>
        </w:rPr>
        <w:t xml:space="preserve">lesquels sont diffusés à des heures où l’on regarde peu la télévision : en matinée, l’après-midi et en fin de soirée, par conséquent leur taux d’audience demeure dérisoire. Si les films anglo-saxons sont projetés en version originale avec un sous-titrage en arabe, quelques chaînes comme Télé-Liban (chaîne publique) ou encore la LBC proposent un sous-titrage bilingue arabe/français. </w:t>
      </w:r>
    </w:p>
    <w:p w:rsidR="006158FF" w:rsidRDefault="006158FF" w:rsidP="006158FF">
      <w:pPr>
        <w:ind w:firstLine="567"/>
        <w:jc w:val="both"/>
        <w:rPr>
          <w:spacing w:val="4"/>
        </w:rPr>
      </w:pPr>
    </w:p>
    <w:p w:rsidR="006158FF" w:rsidRDefault="006158FF" w:rsidP="006158FF">
      <w:pPr>
        <w:jc w:val="both"/>
        <w:rPr>
          <w:spacing w:val="4"/>
        </w:rPr>
      </w:pPr>
      <w:r>
        <w:rPr>
          <w:spacing w:val="4"/>
        </w:rPr>
        <w:t>Par ailleurs, dans le paysage télévisuel satellitaire, l’offre française est faible. La seule chaîne totalement française proposée par tous les opérateurs est "Chasse et pêche".  Sont souvent fournies : TV5 et ARTE/ 5</w:t>
      </w:r>
      <w:r>
        <w:rPr>
          <w:spacing w:val="4"/>
          <w:vertAlign w:val="superscript"/>
        </w:rPr>
        <w:t>ème</w:t>
      </w:r>
      <w:r>
        <w:rPr>
          <w:spacing w:val="4"/>
        </w:rPr>
        <w:t xml:space="preserve">. Sont faiblement demandées : Euronews (le plus souvent en anglais) et Canal+ horizon, quasi inexistante. (Moins de 1000 abonnés). Une demande significative existe pour la réception en clair d’une ou de plusieurs chaînes généralistes françaises comme TF1, FR2 ou M6. Sachons que de très nombreux foyers libanais reçoivent plusieurs dizaines de programmes étrangers fournis par des "cablo-systèmes" pirates contre un abonnement mensuel de 10 à 20 € et que leurs choix en matière de chaînes échappent à toute analyse. </w:t>
      </w:r>
    </w:p>
    <w:p w:rsidR="006158FF" w:rsidRDefault="006158FF" w:rsidP="006158FF">
      <w:pPr>
        <w:jc w:val="both"/>
        <w:rPr>
          <w:b/>
          <w:bCs/>
          <w:i/>
          <w:iCs/>
          <w:spacing w:val="4"/>
          <w:sz w:val="26"/>
          <w:szCs w:val="26"/>
        </w:rPr>
      </w:pPr>
    </w:p>
    <w:p w:rsidR="006158FF" w:rsidRDefault="006158FF" w:rsidP="006158FF">
      <w:pPr>
        <w:jc w:val="both"/>
        <w:rPr>
          <w:b/>
          <w:bCs/>
          <w:i/>
          <w:iCs/>
          <w:spacing w:val="4"/>
          <w:sz w:val="26"/>
          <w:szCs w:val="26"/>
        </w:rPr>
      </w:pPr>
      <w:r>
        <w:rPr>
          <w:b/>
          <w:bCs/>
          <w:i/>
          <w:iCs/>
          <w:spacing w:val="4"/>
          <w:sz w:val="26"/>
          <w:szCs w:val="26"/>
        </w:rPr>
        <w:t>1.2 Radios</w:t>
      </w:r>
    </w:p>
    <w:p w:rsidR="006158FF" w:rsidRDefault="006158FF" w:rsidP="006158FF">
      <w:pPr>
        <w:jc w:val="both"/>
        <w:rPr>
          <w:spacing w:val="4"/>
        </w:rPr>
      </w:pPr>
    </w:p>
    <w:p w:rsidR="006158FF" w:rsidRDefault="006158FF" w:rsidP="006158FF">
      <w:pPr>
        <w:jc w:val="both"/>
        <w:rPr>
          <w:spacing w:val="4"/>
        </w:rPr>
      </w:pPr>
      <w:r>
        <w:rPr>
          <w:spacing w:val="4"/>
        </w:rPr>
        <w:t xml:space="preserve">Depuis 1996, Radio-Liban (RL) sert de relais aux programmes de Radio France Internationale (RFI), en moyenne 8 heures par jour. En 2004, le Quai d’Orsay a investi plus de 1 million d’euros afin d’équiper RL et de lui assurer une couverture sur tout le territoire. En moyenne, 75% des programmes de RL sont en français, 23% en anglais, 3% en arménien et autres. </w:t>
      </w:r>
    </w:p>
    <w:p w:rsidR="006158FF" w:rsidRDefault="006158FF" w:rsidP="006158FF">
      <w:pPr>
        <w:jc w:val="both"/>
        <w:rPr>
          <w:spacing w:val="4"/>
        </w:rPr>
      </w:pPr>
      <w:r>
        <w:rPr>
          <w:spacing w:val="4"/>
        </w:rPr>
        <w:t>Si la radio étatique se voue corps et âme à la langue française, seules trois stations privées diffusent des chansons françaises à côté des chansons anglaises dont France FM (60% anglais, 40% français,), Nostalgie (</w:t>
      </w:r>
      <w:r>
        <w:t>53% français, 47% anglais,</w:t>
      </w:r>
      <w:r>
        <w:rPr>
          <w:spacing w:val="4"/>
        </w:rPr>
        <w:t xml:space="preserve">), Light FM (35% français, 65% anglais). Cela dit, depuis environ cinq ans « le trilinguisme musical » arabe/ français/ anglais est à l’honneur sur la bande FM. Des radios arabophones (la voix de la musique/ Delta) ou encore anglophones (PAX FM) </w:t>
      </w:r>
      <w:r w:rsidRPr="0011565B">
        <w:rPr>
          <w:spacing w:val="4"/>
        </w:rPr>
        <w:t xml:space="preserve">jouent </w:t>
      </w:r>
      <w:r>
        <w:rPr>
          <w:spacing w:val="4"/>
        </w:rPr>
        <w:t xml:space="preserve">à longueur de journée pêle-mêle des chansons arabes, anglaises et françaises. </w:t>
      </w:r>
    </w:p>
    <w:p w:rsidR="006158FF" w:rsidRDefault="006158FF" w:rsidP="006158FF">
      <w:pPr>
        <w:ind w:firstLine="567"/>
        <w:jc w:val="both"/>
        <w:rPr>
          <w:spacing w:val="4"/>
        </w:rPr>
      </w:pPr>
    </w:p>
    <w:p w:rsidR="006158FF" w:rsidRDefault="006158FF" w:rsidP="006158FF">
      <w:pPr>
        <w:ind w:firstLine="567"/>
        <w:jc w:val="both"/>
        <w:rPr>
          <w:spacing w:val="4"/>
        </w:rPr>
      </w:pPr>
      <w:r>
        <w:rPr>
          <w:spacing w:val="4"/>
        </w:rPr>
        <w:t xml:space="preserve">Sur un autre plan, la voix de la charité, une station religieuse assure la transmission d’une partie des programmes français de Radio Vatican. Radio-Orient, une station généraliste arabophone, retransmet en direct les bulletins d’information en français de Radio-Orient- Paris. </w:t>
      </w:r>
    </w:p>
    <w:p w:rsidR="006158FF" w:rsidRDefault="006158FF" w:rsidP="006158FF">
      <w:pPr>
        <w:jc w:val="both"/>
        <w:rPr>
          <w:spacing w:val="4"/>
        </w:rPr>
      </w:pPr>
    </w:p>
    <w:p w:rsidR="006158FF" w:rsidRDefault="006158FF" w:rsidP="006158FF">
      <w:pPr>
        <w:jc w:val="both"/>
        <w:rPr>
          <w:spacing w:val="4"/>
        </w:rPr>
      </w:pPr>
    </w:p>
    <w:p w:rsidR="006158FF" w:rsidRDefault="006158FF" w:rsidP="006158FF">
      <w:pPr>
        <w:jc w:val="both"/>
        <w:rPr>
          <w:spacing w:val="4"/>
        </w:rPr>
      </w:pPr>
    </w:p>
    <w:p w:rsidR="006158FF" w:rsidRDefault="006158FF" w:rsidP="006158FF">
      <w:pPr>
        <w:jc w:val="both"/>
        <w:rPr>
          <w:b/>
          <w:bCs/>
          <w:i/>
          <w:iCs/>
          <w:spacing w:val="4"/>
          <w:sz w:val="26"/>
          <w:szCs w:val="26"/>
        </w:rPr>
      </w:pPr>
      <w:r>
        <w:rPr>
          <w:b/>
          <w:bCs/>
          <w:spacing w:val="4"/>
        </w:rPr>
        <w:t xml:space="preserve">1.3 </w:t>
      </w:r>
      <w:r>
        <w:rPr>
          <w:b/>
          <w:bCs/>
          <w:i/>
          <w:iCs/>
          <w:spacing w:val="4"/>
          <w:sz w:val="26"/>
          <w:szCs w:val="26"/>
        </w:rPr>
        <w:t xml:space="preserve">Cinéma </w:t>
      </w:r>
    </w:p>
    <w:p w:rsidR="006158FF" w:rsidRDefault="006158FF" w:rsidP="006158FF">
      <w:pPr>
        <w:jc w:val="both"/>
        <w:rPr>
          <w:spacing w:val="4"/>
        </w:rPr>
      </w:pPr>
    </w:p>
    <w:p w:rsidR="006158FF" w:rsidRDefault="006158FF" w:rsidP="006158FF">
      <w:pPr>
        <w:jc w:val="both"/>
      </w:pPr>
      <w:r>
        <w:rPr>
          <w:spacing w:val="4"/>
        </w:rPr>
        <w:t>Le film français peine à se frayer un chemin dans un domaine largement dominé par le film américain</w:t>
      </w:r>
      <w:r>
        <w:rPr>
          <w:color w:val="FF0000"/>
          <w:spacing w:val="4"/>
        </w:rPr>
        <w:t xml:space="preserve">. </w:t>
      </w:r>
      <w:r w:rsidRPr="0011565B">
        <w:rPr>
          <w:spacing w:val="4"/>
        </w:rPr>
        <w:t xml:space="preserve">A titre d’exemple, </w:t>
      </w:r>
      <w:r w:rsidRPr="0011565B">
        <w:rPr>
          <w:i/>
          <w:spacing w:val="4"/>
        </w:rPr>
        <w:t>Circuit Planète</w:t>
      </w:r>
      <w:r w:rsidRPr="0011565B">
        <w:rPr>
          <w:spacing w:val="4"/>
        </w:rPr>
        <w:t xml:space="preserve"> et </w:t>
      </w:r>
      <w:r w:rsidRPr="0011565B">
        <w:rPr>
          <w:i/>
          <w:spacing w:val="4"/>
        </w:rPr>
        <w:t>Circuit Empire</w:t>
      </w:r>
      <w:r w:rsidRPr="0011565B">
        <w:rPr>
          <w:spacing w:val="4"/>
        </w:rPr>
        <w:t xml:space="preserve"> sont propriété des majors américaines qui décident de la programmation. Les gestionnaires des complexes n‘ont une liberté d</w:t>
      </w:r>
      <w:r>
        <w:rPr>
          <w:spacing w:val="4"/>
        </w:rPr>
        <w:t>e choix que sur une seule salle</w:t>
      </w:r>
      <w:r w:rsidRPr="0011565B">
        <w:rPr>
          <w:spacing w:val="4"/>
        </w:rPr>
        <w:t>. 5</w:t>
      </w:r>
      <w:r>
        <w:rPr>
          <w:spacing w:val="4"/>
        </w:rPr>
        <w:t xml:space="preserve">% seulement de films français étaient à l’affiche en 2007, contre 80% de films américains, le reste étant des films égyptiens ou indiens. </w:t>
      </w:r>
      <w:r>
        <w:t xml:space="preserve">Pour </w:t>
      </w:r>
      <w:r>
        <w:rPr>
          <w:spacing w:val="4"/>
        </w:rPr>
        <w:t>pallier quelque peu l’absence des films français dans les circuits commerciaux, la Mission culturelle française propose des projections hebdomadaires dans ses centres culturels de Beyrouth et de province</w:t>
      </w:r>
      <w:r>
        <w:rPr>
          <w:color w:val="FF0000"/>
          <w:spacing w:val="4"/>
        </w:rPr>
        <w:t xml:space="preserve"> </w:t>
      </w:r>
      <w:r w:rsidRPr="00190F09">
        <w:rPr>
          <w:spacing w:val="4"/>
        </w:rPr>
        <w:t>(il y a aussi maintenant le cas particulier du Métropolis).</w:t>
      </w:r>
      <w:r>
        <w:rPr>
          <w:spacing w:val="4"/>
        </w:rPr>
        <w:t xml:space="preserve"> Notons aussi qu’elle</w:t>
      </w:r>
      <w:r>
        <w:t xml:space="preserve"> donne un appui aux différents festivals de cinéma de Beyrouth : court métrage, documentaire, animation, film européen, festival de Beyrouth. La MCF s’attache enfin à promouvoir la pratique du français auprès des enfants par le cinéma d’animation francophone avec l’opération « Ciné Récré » (projections hebdomadaires de films d’animation de janvier à juin). </w:t>
      </w:r>
    </w:p>
    <w:p w:rsidR="006158FF" w:rsidRDefault="006158FF" w:rsidP="006158FF">
      <w:pPr>
        <w:jc w:val="both"/>
        <w:rPr>
          <w:spacing w:val="4"/>
        </w:rPr>
      </w:pPr>
    </w:p>
    <w:p w:rsidR="006158FF" w:rsidRDefault="006158FF" w:rsidP="006158FF">
      <w:pPr>
        <w:jc w:val="both"/>
        <w:rPr>
          <w:b/>
          <w:bCs/>
          <w:spacing w:val="4"/>
        </w:rPr>
      </w:pPr>
      <w:r>
        <w:rPr>
          <w:b/>
          <w:bCs/>
          <w:spacing w:val="4"/>
        </w:rPr>
        <w:t xml:space="preserve">1.4 Publicité </w:t>
      </w:r>
    </w:p>
    <w:p w:rsidR="006158FF" w:rsidRDefault="006158FF" w:rsidP="006158FF">
      <w:pPr>
        <w:jc w:val="both"/>
      </w:pPr>
    </w:p>
    <w:p w:rsidR="006158FF" w:rsidRDefault="006158FF" w:rsidP="006158FF">
      <w:pPr>
        <w:jc w:val="both"/>
      </w:pPr>
      <w:r>
        <w:t>Si l’on en croit Ibrahim Tabet, président de l’Association libanaise des publicitaires francophones, la langue française est de moins en moins perçue comme un vecteur efficace pour la communication de masse, tous médias confondus (télévision, radio, affiches publicitaires). En 2004, 34 % des campagnes publicitaires sont en anglais, 25 % en français et 40 % en arabe</w:t>
      </w:r>
      <w:r>
        <w:rPr>
          <w:sz w:val="20"/>
          <w:szCs w:val="20"/>
          <w:vertAlign w:val="superscript"/>
        </w:rPr>
        <w:footnoteReference w:id="6"/>
      </w:r>
      <w:r>
        <w:t xml:space="preserve">. M.Tabet s’interroge sur le paradoxe qu’ « Il y a entre la bonne santé du français en tant que langue d’enseignement et la faiblesse de son utilisation comme vecteur d’une culture populaire ». </w:t>
      </w:r>
    </w:p>
    <w:p w:rsidR="006158FF" w:rsidRDefault="006158FF" w:rsidP="006158FF">
      <w:pPr>
        <w:spacing w:before="240" w:after="240"/>
        <w:jc w:val="both"/>
      </w:pPr>
      <w:r>
        <w:t xml:space="preserve">Il est intéressant par ailleurs de savoir que les langues en usage au Liban se répartissent les tâches dans la publicité. A chaque produit à vanter est associée une langue. Ce phénomène sociolinguistique est aussi observable à partir des enseignes qui envahissent les rues commerçantes de Beyrouth. (Voir plus loin).  En général, le français est réservé aux produits de luxe, (parfums, accessoires, bijoux...), de l’habillement, des produits cosmétiques (crèmes de beauté, maquillage) et des arts de la table (argenterie, cristallerie...). L’anglais est consacré aux publicités pour les cigarettes, les voitures, le matériel électronique, la promotion des films de cinéma et l’alcool. L’arabe est associé aux produits de grande consommation : lessives, alimentation...  </w:t>
      </w:r>
    </w:p>
    <w:p w:rsidR="006158FF" w:rsidRDefault="006158FF" w:rsidP="006158FF">
      <w:pPr>
        <w:spacing w:before="240" w:after="240"/>
        <w:jc w:val="both"/>
      </w:pPr>
      <w:r>
        <w:t>Dans un entretien radiophonique accordé en 2005 à RFI, Jean-Claude Boulous,  PDG de Télé-Liban et président d’une agence de publicité locale, explique le phénomène comme suit : « …Dans un pays où la langue est l’arabe, il vaut mieux s’exprimer en arabe afin de faire arriver un message de commercialisation de produits populaires et de produits d’entretien, etc. Mais il ne fait aucun doute que la plupart des agences de publicité choisissent une autre langue quand elles veulent (….) s’adresser à des femmes cultivées, à des hommes d’un certain standing social… »</w:t>
      </w:r>
    </w:p>
    <w:p w:rsidR="006158FF" w:rsidRDefault="006158FF" w:rsidP="006158FF">
      <w:pPr>
        <w:jc w:val="both"/>
        <w:rPr>
          <w:b/>
          <w:bCs/>
          <w:i/>
          <w:iCs/>
          <w:sz w:val="26"/>
          <w:szCs w:val="26"/>
        </w:rPr>
      </w:pPr>
      <w:r>
        <w:rPr>
          <w:b/>
          <w:bCs/>
          <w:i/>
          <w:iCs/>
          <w:sz w:val="26"/>
          <w:szCs w:val="26"/>
        </w:rPr>
        <w:t xml:space="preserve">1.5 Internet </w:t>
      </w:r>
    </w:p>
    <w:p w:rsidR="006158FF" w:rsidRPr="009526FD" w:rsidRDefault="006158FF" w:rsidP="006158FF">
      <w:pPr>
        <w:jc w:val="both"/>
        <w:rPr>
          <w:b/>
          <w:bCs/>
          <w:i/>
          <w:iCs/>
          <w:sz w:val="26"/>
          <w:szCs w:val="26"/>
        </w:rPr>
      </w:pPr>
    </w:p>
    <w:p w:rsidR="006158FF" w:rsidRDefault="006158FF" w:rsidP="006158FF">
      <w:pPr>
        <w:jc w:val="both"/>
      </w:pPr>
      <w:r>
        <w:t>Les estimations du nombre d'internautes au Liban varient entre 300.000 à 450.000 suivant les sources, soit près d’un dixième de la population. Thedaleel.com. qui gère un guide des sites Internet a recensé, fin 2002, près de 4000 sites créés au Liban (3.950) et qui intéressent tous les secteurs. Il semble toutefois que l’Internet profite surtout à l’expansion de l’anglo-américain</w:t>
      </w:r>
      <w:r>
        <w:rPr>
          <w:color w:val="FF0000"/>
        </w:rPr>
        <w:t xml:space="preserve"> </w:t>
      </w:r>
      <w:r w:rsidRPr="00190F09">
        <w:t>(même dans l‘équipement puisqu‘il est impossible de trouver un clavier français, AZERTI, au Liban).</w:t>
      </w:r>
      <w:r>
        <w:t xml:space="preserve"> Selon Y. Gonzalez-</w:t>
      </w:r>
      <w:r>
        <w:lastRenderedPageBreak/>
        <w:t>Quijano et Mohamad Taha</w:t>
      </w:r>
      <w:r>
        <w:rPr>
          <w:sz w:val="19"/>
          <w:szCs w:val="19"/>
          <w:vertAlign w:val="superscript"/>
        </w:rPr>
        <w:footnoteReference w:id="7"/>
      </w:r>
      <w:r>
        <w:t xml:space="preserve">, la langue de l’oncle Sam est omniprésente tant au niveau de l’interface que du contenu au sein de sites à vocation commerciale ou financière ; il est suivi non pas du français mais de l’arabe. Quant aux rares sites créés en français par de nouveaux acteurs, ils l’ont été, dans bien des cas, par le canal d’un financement français. Compte tenu de l’écart numérique qui existe entre les sites anglophones et francophones, les auteurs de l’étude se montrent sceptiques concernant l’avenir du français dans les nouvelles technologies: « la francophonie au Liban n’a guère à espérer du réseau des réseaux ». Citant le quotidien arabophone saoudien </w:t>
      </w:r>
      <w:r>
        <w:rPr>
          <w:i/>
          <w:iCs/>
        </w:rPr>
        <w:t>Chark Al Awsat</w:t>
      </w:r>
      <w:r>
        <w:t xml:space="preserve"> du 8 mai 2001, publié à Londres, ils font remarquer qu’en raison notamment d’Internet, 54% de la population libanaise comprise entre 20 et 29 ans est désormais anglophone. Dans son article de presse, </w:t>
      </w:r>
      <w:r>
        <w:rPr>
          <w:i/>
          <w:iCs/>
        </w:rPr>
        <w:t>l’Internet francophone au Liban</w:t>
      </w:r>
      <w:r>
        <w:t>, du 1</w:t>
      </w:r>
      <w:r>
        <w:rPr>
          <w:vertAlign w:val="superscript"/>
        </w:rPr>
        <w:t>er</w:t>
      </w:r>
      <w:r>
        <w:t xml:space="preserve"> novembre 2002, et publié dans </w:t>
      </w:r>
      <w:r>
        <w:rPr>
          <w:i/>
          <w:iCs/>
        </w:rPr>
        <w:t>Le Monde – sélection Proche-Orient</w:t>
      </w:r>
      <w:r>
        <w:t>, A. Busnel, reconnaît à son tour la suprématie de l’anglais sur la toile au Liban, sans nier pour autant la place qu’occupe le français dans de nombreux domaines. Ainsi, des sites culturels privilégient le français pour décrire leurs activités ou annoncer les événements à venir. C’est le cas, par exemple, des sites de l’Association libanaise pour le développement du mécénat culturel (</w:t>
      </w:r>
      <w:hyperlink r:id="rId6" w:history="1">
        <w:r>
          <w:rPr>
            <w:color w:val="0000FF"/>
            <w:u w:val="single"/>
          </w:rPr>
          <w:t>www.liban-culture.org</w:t>
        </w:r>
      </w:hyperlink>
      <w:r>
        <w:t xml:space="preserve">), de l’Agenda culturel (www.agendaculturel.com) etc. </w:t>
      </w:r>
    </w:p>
    <w:p w:rsidR="006158FF" w:rsidRDefault="006158FF" w:rsidP="006158FF">
      <w:pPr>
        <w:jc w:val="both"/>
        <w:rPr>
          <w:b/>
          <w:bCs/>
          <w:i/>
          <w:iCs/>
          <w:sz w:val="26"/>
          <w:szCs w:val="26"/>
        </w:rPr>
      </w:pPr>
    </w:p>
    <w:p w:rsidR="006158FF" w:rsidRDefault="006158FF" w:rsidP="006158FF">
      <w:pPr>
        <w:jc w:val="both"/>
        <w:rPr>
          <w:b/>
          <w:bCs/>
          <w:i/>
          <w:iCs/>
          <w:sz w:val="26"/>
          <w:szCs w:val="26"/>
        </w:rPr>
      </w:pPr>
      <w:r>
        <w:rPr>
          <w:b/>
          <w:bCs/>
          <w:i/>
          <w:iCs/>
          <w:sz w:val="26"/>
          <w:szCs w:val="26"/>
        </w:rPr>
        <w:t>1.6 Presse écrite</w:t>
      </w:r>
    </w:p>
    <w:p w:rsidR="006158FF" w:rsidRDefault="006158FF" w:rsidP="006158FF">
      <w:pPr>
        <w:jc w:val="both"/>
        <w:rPr>
          <w:b/>
          <w:bCs/>
          <w:i/>
          <w:iCs/>
          <w:sz w:val="26"/>
          <w:szCs w:val="26"/>
        </w:rPr>
      </w:pPr>
    </w:p>
    <w:p w:rsidR="006158FF" w:rsidRPr="009526FD" w:rsidRDefault="006158FF" w:rsidP="006158FF">
      <w:pPr>
        <w:jc w:val="both"/>
        <w:rPr>
          <w:b/>
          <w:bCs/>
          <w:i/>
          <w:iCs/>
          <w:sz w:val="26"/>
          <w:szCs w:val="26"/>
        </w:rPr>
      </w:pPr>
      <w:r>
        <w:rPr>
          <w:spacing w:val="4"/>
        </w:rPr>
        <w:t>C’est dans la presse francophone que la langue française tire son épingle du jeu</w:t>
      </w:r>
      <w:r>
        <w:rPr>
          <w:sz w:val="20"/>
          <w:szCs w:val="20"/>
          <w:vertAlign w:val="superscript"/>
        </w:rPr>
        <w:footnoteReference w:id="8"/>
      </w:r>
      <w:r>
        <w:rPr>
          <w:spacing w:val="4"/>
        </w:rPr>
        <w:t xml:space="preserve">. Le quotidien libanais francophone, </w:t>
      </w:r>
      <w:r>
        <w:rPr>
          <w:i/>
          <w:iCs/>
          <w:spacing w:val="4"/>
        </w:rPr>
        <w:t>L’Orient- Le Jour</w:t>
      </w:r>
      <w:r>
        <w:rPr>
          <w:spacing w:val="4"/>
        </w:rPr>
        <w:t xml:space="preserve">, (13.000 exemplaires), bien que dépassé par la presse de langue arabe (35 à 40.000 exemplaires pour le journal </w:t>
      </w:r>
      <w:r>
        <w:rPr>
          <w:i/>
          <w:iCs/>
          <w:spacing w:val="4"/>
        </w:rPr>
        <w:t>An Nahar</w:t>
      </w:r>
      <w:r>
        <w:rPr>
          <w:spacing w:val="4"/>
        </w:rPr>
        <w:t xml:space="preserve">) a une distribution qui demeure supérieure à celle du seul quotidien anglophone, le </w:t>
      </w:r>
      <w:r>
        <w:rPr>
          <w:i/>
          <w:iCs/>
          <w:spacing w:val="4"/>
        </w:rPr>
        <w:t>Daily Star</w:t>
      </w:r>
      <w:r>
        <w:rPr>
          <w:spacing w:val="4"/>
        </w:rPr>
        <w:t xml:space="preserve"> (10 000 exemplaires). Le tirage de </w:t>
      </w:r>
      <w:r>
        <w:rPr>
          <w:i/>
          <w:iCs/>
          <w:spacing w:val="4"/>
        </w:rPr>
        <w:t>L’Orient-Le Jour</w:t>
      </w:r>
      <w:r>
        <w:rPr>
          <w:spacing w:val="4"/>
        </w:rPr>
        <w:t xml:space="preserve"> augmente de 1500 à 2000 exemplaires, le samedi, jour de son supplément « </w:t>
      </w:r>
      <w:r>
        <w:rPr>
          <w:i/>
          <w:iCs/>
          <w:spacing w:val="4"/>
        </w:rPr>
        <w:t>Les Copains</w:t>
      </w:r>
      <w:r>
        <w:rPr>
          <w:spacing w:val="4"/>
        </w:rPr>
        <w:t xml:space="preserve"> » destiné aux jeunes de 7 à 15 ans. </w:t>
      </w:r>
    </w:p>
    <w:p w:rsidR="006158FF" w:rsidRDefault="006158FF" w:rsidP="006158FF">
      <w:pPr>
        <w:ind w:firstLine="567"/>
        <w:jc w:val="both"/>
        <w:rPr>
          <w:spacing w:val="4"/>
        </w:rPr>
      </w:pPr>
      <w:r>
        <w:rPr>
          <w:spacing w:val="4"/>
        </w:rPr>
        <w:t xml:space="preserve">En ce qui concerne les magazines, sur un total de 91 hebdomadaires, trois sont de langue française, mais il y en a aussi 35 qui sont bilingues arabe/français ou trilingues arabe/français/anglais, ce qui fait que les hebdomadaires entièrement ou partiellement de langue française constituent 41,7% du total de ce type de périodiques. </w:t>
      </w:r>
    </w:p>
    <w:p w:rsidR="006158FF" w:rsidRDefault="006158FF" w:rsidP="006158FF">
      <w:pPr>
        <w:ind w:firstLine="567"/>
        <w:jc w:val="both"/>
        <w:rPr>
          <w:spacing w:val="4"/>
        </w:rPr>
      </w:pPr>
      <w:r>
        <w:rPr>
          <w:spacing w:val="4"/>
        </w:rPr>
        <w:t xml:space="preserve">Il faut aussi parler de ce véritable phénomène de société constitué par les sept mensuels féminins francophones (pour deux paraissant en anglais) dont le plus important, </w:t>
      </w:r>
      <w:r>
        <w:rPr>
          <w:i/>
          <w:iCs/>
          <w:spacing w:val="4"/>
        </w:rPr>
        <w:t>Noun</w:t>
      </w:r>
      <w:r>
        <w:rPr>
          <w:spacing w:val="4"/>
        </w:rPr>
        <w:t xml:space="preserve"> a un tirage de 6000 exemplaires. </w:t>
      </w:r>
    </w:p>
    <w:p w:rsidR="006158FF" w:rsidRDefault="006158FF" w:rsidP="006158FF">
      <w:pPr>
        <w:ind w:firstLine="567"/>
        <w:jc w:val="both"/>
        <w:rPr>
          <w:spacing w:val="4"/>
        </w:rPr>
      </w:pPr>
    </w:p>
    <w:p w:rsidR="006158FF" w:rsidRDefault="006158FF" w:rsidP="006158FF">
      <w:pPr>
        <w:ind w:firstLine="567"/>
        <w:jc w:val="both"/>
      </w:pPr>
      <w:r>
        <w:t>A la presse écrite libanaise d’expression française s’ajoute la presse française importée de Paris. Celle-ci connaît un véritable essor au Liban. En effet, depuis 1996, plus de 1,5 million d’exemplaires de la presse française sont vendus annuellement au Liban. Ainsi,  signale Pascal Mounin</w:t>
      </w:r>
      <w:r>
        <w:rPr>
          <w:sz w:val="19"/>
          <w:szCs w:val="19"/>
          <w:vertAlign w:val="superscript"/>
        </w:rPr>
        <w:footnoteReference w:id="9"/>
      </w:r>
      <w:r>
        <w:t> : « le Liban est devenu le 14</w:t>
      </w:r>
      <w:r>
        <w:rPr>
          <w:vertAlign w:val="superscript"/>
        </w:rPr>
        <w:t>ème</w:t>
      </w:r>
      <w:r>
        <w:t xml:space="preserve"> marché à l’export des nouvelles messageries de la presse parisienne et son 7</w:t>
      </w:r>
      <w:r>
        <w:rPr>
          <w:vertAlign w:val="superscript"/>
        </w:rPr>
        <w:t>ème</w:t>
      </w:r>
      <w:r>
        <w:t xml:space="preserve"> marché en chiffre d’affaires sur 107 pays. » </w:t>
      </w:r>
    </w:p>
    <w:p w:rsidR="006158FF" w:rsidRDefault="006158FF" w:rsidP="006158FF">
      <w:pPr>
        <w:jc w:val="both"/>
        <w:rPr>
          <w:b/>
          <w:bCs/>
          <w:i/>
          <w:iCs/>
          <w:sz w:val="26"/>
          <w:szCs w:val="26"/>
        </w:rPr>
      </w:pPr>
    </w:p>
    <w:p w:rsidR="006158FF" w:rsidRDefault="006158FF" w:rsidP="006158FF">
      <w:pPr>
        <w:jc w:val="both"/>
        <w:rPr>
          <w:b/>
          <w:bCs/>
          <w:i/>
          <w:iCs/>
          <w:sz w:val="26"/>
          <w:szCs w:val="26"/>
        </w:rPr>
      </w:pPr>
      <w:r>
        <w:rPr>
          <w:b/>
          <w:bCs/>
          <w:i/>
          <w:iCs/>
          <w:sz w:val="26"/>
          <w:szCs w:val="26"/>
        </w:rPr>
        <w:t xml:space="preserve">1.7 Publications </w:t>
      </w:r>
    </w:p>
    <w:p w:rsidR="006158FF" w:rsidRDefault="006158FF" w:rsidP="006158FF">
      <w:pPr>
        <w:jc w:val="both"/>
      </w:pPr>
    </w:p>
    <w:p w:rsidR="006158FF" w:rsidRDefault="006158FF" w:rsidP="006158FF">
      <w:pPr>
        <w:jc w:val="both"/>
      </w:pPr>
      <w:r>
        <w:t xml:space="preserve">Les éditions </w:t>
      </w:r>
      <w:r>
        <w:rPr>
          <w:i/>
          <w:iCs/>
        </w:rPr>
        <w:t>Dar An Nahar</w:t>
      </w:r>
      <w:r>
        <w:t xml:space="preserve"> sont la principale maison d’édition francophone et la seule qui ait une véritable politique de production en langue française de romans, de textes poétiques et d’ouvrages politiques. Actuellement sa collection est riche de près d’une centaine de titres en français, pour une dizaine en anglais (et trois ou quatre fois plus en arabe). Le tirage des ouvrages francophones est de 700 à 800 exemplaires pour de la poésie, 1. 000 à 1.500 exemplaires pour des romans ou des ouvrages </w:t>
      </w:r>
      <w:r>
        <w:lastRenderedPageBreak/>
        <w:t xml:space="preserve">politiques en collection brochée et 2.000 exemplaires pour les livres d’art qui, d’après le directeur des publications, se vendent mieux en français qu’en arabe malgré leur prix élevé. Depuis peu, le catalogue compte également plusieurs titres bilingues, français/ anglais, voire trilingues, français/ anglais/ arabe. </w:t>
      </w:r>
    </w:p>
    <w:p w:rsidR="006158FF" w:rsidRDefault="006158FF" w:rsidP="006158FF">
      <w:pPr>
        <w:jc w:val="both"/>
      </w:pPr>
    </w:p>
    <w:p w:rsidR="006158FF" w:rsidRDefault="006158FF" w:rsidP="006158FF">
      <w:pPr>
        <w:jc w:val="both"/>
      </w:pPr>
      <w:r>
        <w:t>D’autres éditeurs, comme </w:t>
      </w:r>
      <w:r>
        <w:rPr>
          <w:i/>
          <w:iCs/>
        </w:rPr>
        <w:t>Terre du Liban</w:t>
      </w:r>
      <w:r>
        <w:t xml:space="preserve">  ou les </w:t>
      </w:r>
      <w:r>
        <w:rPr>
          <w:i/>
          <w:iCs/>
        </w:rPr>
        <w:t>Messageries du Proche-Orient</w:t>
      </w:r>
      <w:r>
        <w:t xml:space="preserve">, se sont spécialisés dans les éditions de luxe d’ouvrages en français sur l’histoire, l’archéologie, l’art et le patrimoine libanais. A raison de deux à trois ouvrages par an, </w:t>
      </w:r>
      <w:r>
        <w:rPr>
          <w:i/>
          <w:iCs/>
        </w:rPr>
        <w:t>la Librairie du Liban</w:t>
      </w:r>
      <w:r>
        <w:t xml:space="preserve"> publie des dictionnaires français/ arabe ou trilingues. Si les dictionnaires généraux sont publiés en coopération avec la maison Larousse, le catalogue comprend aussi une gamme de dictionnaires des termes de différentes disciplines universitaires (droit, économie, botanique, etc.), écrits par des auteurs libanais à l’usage des étudiants libanais mais aussi de ceux du Maghreb. Les tirages atteignent 4 à 5.000 exemplaires. </w:t>
      </w:r>
    </w:p>
    <w:p w:rsidR="006158FF" w:rsidRDefault="006158FF" w:rsidP="006158FF">
      <w:pPr>
        <w:ind w:firstLine="567"/>
        <w:jc w:val="both"/>
      </w:pPr>
    </w:p>
    <w:p w:rsidR="006158FF" w:rsidRDefault="006158FF" w:rsidP="006158FF">
      <w:pPr>
        <w:ind w:firstLine="567"/>
        <w:jc w:val="both"/>
      </w:pPr>
      <w:r>
        <w:t>Enfin</w:t>
      </w:r>
      <w:r w:rsidRPr="00190F09">
        <w:t>, chaque année, les cinq universités francophones du pays, UL, USJ, USEK et Balamand Antonine éditent chacune deux ou trois ouvrages en français, généralement des thèses ou des travaux universitaires et publient, parfois avec l’aide de l’Ambassade de France ou de l’AUF, les actes de colloques q</w:t>
      </w:r>
      <w:r>
        <w:t xml:space="preserve">u’elles ont organisés. Ainsi, en 2003, l’UL a publié 3 ouvrages en français (et 3 en arabe) tandis que l’USJ a publié 6 titres.  </w:t>
      </w:r>
    </w:p>
    <w:p w:rsidR="006158FF" w:rsidRDefault="006158FF" w:rsidP="006158FF">
      <w:pPr>
        <w:jc w:val="both"/>
        <w:rPr>
          <w:b/>
          <w:bCs/>
          <w:i/>
          <w:iCs/>
          <w:sz w:val="26"/>
          <w:szCs w:val="26"/>
        </w:rPr>
      </w:pPr>
    </w:p>
    <w:p w:rsidR="006158FF" w:rsidRDefault="006158FF" w:rsidP="006158FF">
      <w:pPr>
        <w:jc w:val="both"/>
        <w:rPr>
          <w:b/>
          <w:bCs/>
          <w:i/>
          <w:iCs/>
          <w:sz w:val="26"/>
          <w:szCs w:val="26"/>
        </w:rPr>
      </w:pPr>
      <w:r>
        <w:rPr>
          <w:b/>
          <w:bCs/>
          <w:i/>
          <w:iCs/>
          <w:sz w:val="26"/>
          <w:szCs w:val="26"/>
        </w:rPr>
        <w:t xml:space="preserve">1.8  Manifestations culturelles francophones </w:t>
      </w:r>
    </w:p>
    <w:p w:rsidR="006158FF" w:rsidRDefault="006158FF" w:rsidP="006158FF">
      <w:pPr>
        <w:jc w:val="both"/>
        <w:rPr>
          <w:spacing w:val="4"/>
        </w:rPr>
      </w:pPr>
    </w:p>
    <w:p w:rsidR="006158FF" w:rsidRDefault="006158FF" w:rsidP="006158FF">
      <w:pPr>
        <w:jc w:val="both"/>
      </w:pPr>
      <w:r>
        <w:rPr>
          <w:spacing w:val="4"/>
        </w:rPr>
        <w:t xml:space="preserve">     Le français a aussi son mot à dire dans les manifestations culturelles. Au point qu’un « Agenda culturel », qui vit de ses 7. 000 abonnés, annonce deux fois par mois tous les événements francophones de la quinzaine à venir. Pour mémoire, ce salon</w:t>
      </w:r>
      <w:r>
        <w:t xml:space="preserve"> a accueilli 61.000 visiteurs en 2000, et </w:t>
      </w:r>
      <w:r w:rsidRPr="009526FD">
        <w:t>dépasse</w:t>
      </w:r>
      <w:r w:rsidRPr="009526FD">
        <w:rPr>
          <w:rStyle w:val="ft"/>
        </w:rPr>
        <w:t xml:space="preserve"> la barre des 100 000 </w:t>
      </w:r>
      <w:r w:rsidRPr="009526FD">
        <w:rPr>
          <w:rStyle w:val="Accentuation"/>
        </w:rPr>
        <w:t>visiteurs</w:t>
      </w:r>
      <w:r>
        <w:t>. En quelques années, il s’est ainsi positionné à la 3</w:t>
      </w:r>
      <w:r>
        <w:rPr>
          <w:vertAlign w:val="superscript"/>
        </w:rPr>
        <w:t>ème</w:t>
      </w:r>
      <w:r>
        <w:t xml:space="preserve"> place des salons du livre francophone, après ceux de Paris et de Montréal. L’exploit mérite d’être signalé pour un pays arabophone qui compte moins de 4 millions d’habitants. </w:t>
      </w:r>
    </w:p>
    <w:p w:rsidR="006158FF" w:rsidRDefault="006158FF" w:rsidP="006158FF">
      <w:pPr>
        <w:jc w:val="both"/>
        <w:rPr>
          <w:spacing w:val="4"/>
        </w:rPr>
      </w:pPr>
    </w:p>
    <w:p w:rsidR="006158FF" w:rsidRDefault="006158FF" w:rsidP="006158FF">
      <w:pPr>
        <w:ind w:firstLine="567"/>
        <w:jc w:val="both"/>
        <w:rPr>
          <w:spacing w:val="4"/>
        </w:rPr>
      </w:pPr>
      <w:r>
        <w:rPr>
          <w:spacing w:val="4"/>
        </w:rPr>
        <w:t xml:space="preserve">Il faut souligner que Le Liban a connu l’apogée des événements culturels francophones de 2001 à 2004, la période durant laquelle s’est préparé et déroulé le sommet de la francophonie. Ainsi, en 2003, l’Agenda culturel annonçait 146 manifestations francophones. Au nombre de 87, les conférences représentent 60% du total. Mais on a aussi compté 20 pièces de théâtre en français, qu’elles aient été jouées par des acteurs étrangers ou mises en scène et interprétées par des troupes locales. Sous l’impulsion de la Mission culturelle française, plusieurs théâtres beyrouthins se sont fédérés pour présenter régulièrement des pièces de théâtres francophones.  </w:t>
      </w:r>
    </w:p>
    <w:p w:rsidR="006158FF" w:rsidRDefault="006158FF" w:rsidP="006158FF">
      <w:pPr>
        <w:jc w:val="both"/>
        <w:rPr>
          <w:b/>
          <w:bCs/>
          <w:i/>
          <w:iCs/>
          <w:sz w:val="26"/>
          <w:szCs w:val="26"/>
        </w:rPr>
      </w:pPr>
    </w:p>
    <w:p w:rsidR="006158FF" w:rsidRDefault="006158FF" w:rsidP="006158FF">
      <w:pPr>
        <w:jc w:val="both"/>
        <w:rPr>
          <w:b/>
          <w:bCs/>
          <w:i/>
          <w:iCs/>
          <w:sz w:val="26"/>
          <w:szCs w:val="26"/>
        </w:rPr>
      </w:pPr>
      <w:r>
        <w:rPr>
          <w:b/>
          <w:bCs/>
          <w:i/>
          <w:iCs/>
          <w:sz w:val="26"/>
          <w:szCs w:val="26"/>
        </w:rPr>
        <w:t xml:space="preserve">2. Offres d’emploi et langues occidentales </w:t>
      </w:r>
    </w:p>
    <w:p w:rsidR="006158FF" w:rsidRDefault="006158FF" w:rsidP="006158FF">
      <w:pPr>
        <w:ind w:firstLine="567"/>
        <w:jc w:val="both"/>
      </w:pPr>
    </w:p>
    <w:p w:rsidR="006158FF" w:rsidRDefault="006158FF" w:rsidP="006158FF">
      <w:pPr>
        <w:ind w:firstLine="567"/>
        <w:jc w:val="both"/>
      </w:pPr>
      <w:r>
        <w:t xml:space="preserve">Pour mesurer l’impact et l’évolution de l’anglo-américain sur le marché du travail, nous avons consulté, à deux reprises,  du 25 avril au 25 mai 2003, puis du 25 avril au 25 mai 2007, soit à quatre ans d’intervalle, les petites annonces de deux journaux : </w:t>
      </w:r>
      <w:r>
        <w:rPr>
          <w:i/>
          <w:iCs/>
        </w:rPr>
        <w:t>l’Orient- Le jour</w:t>
      </w:r>
      <w:r>
        <w:t xml:space="preserve">, l’unique quotidien francophone du pays, et </w:t>
      </w:r>
      <w:r>
        <w:rPr>
          <w:i/>
          <w:iCs/>
        </w:rPr>
        <w:t>An Nahar</w:t>
      </w:r>
      <w:r>
        <w:t xml:space="preserve">, l’un des principaux quotidiens arabophones. Par souci d’objectivité, nous avons éliminé les offres d’emploi publiées plus d’une fois, ainsi que celles destinées aux Libanais désirant travailler à l’étranger, notamment dans les pays du Golfe arabique où seule la langue anglaise est nécessaire. </w:t>
      </w:r>
    </w:p>
    <w:p w:rsidR="006158FF" w:rsidRDefault="006158FF" w:rsidP="006158FF">
      <w:pPr>
        <w:ind w:firstLine="567"/>
        <w:jc w:val="both"/>
      </w:pPr>
      <w:r>
        <w:t xml:space="preserve">Les deux quotidiens proposent de plus en plus en plus d’offres d’emploi rédigées en anglais. On passe de 42.70% en 2003, à 58.9% en 2007. Il faut ajouter que </w:t>
      </w:r>
      <w:r>
        <w:rPr>
          <w:i/>
          <w:iCs/>
        </w:rPr>
        <w:t>l’Orient-Le Jour</w:t>
      </w:r>
      <w:r>
        <w:t xml:space="preserve"> publie le maximum de petites annonces en anglais : 18.78% (2003) et 40.12% (2007) par comparaison à  </w:t>
      </w:r>
      <w:r>
        <w:rPr>
          <w:i/>
          <w:iCs/>
        </w:rPr>
        <w:t>An Nahar </w:t>
      </w:r>
      <w:r>
        <w:t xml:space="preserve">: 24% (2003) et 32.48% (2007). La montée en puissance de l’anglais dans la publication des offres d’emploi notamment dans le quotidien francophone s’explique par le fait que beaucoup de  jeunes diplômés ont bénéficié d’une formation linguistique trilingue. </w:t>
      </w:r>
    </w:p>
    <w:p w:rsidR="006158FF" w:rsidRDefault="006158FF" w:rsidP="006158FF">
      <w:pPr>
        <w:jc w:val="both"/>
      </w:pPr>
    </w:p>
    <w:p w:rsidR="006158FF" w:rsidRDefault="006158FF" w:rsidP="006158FF">
      <w:pPr>
        <w:ind w:firstLine="567"/>
        <w:jc w:val="both"/>
      </w:pPr>
      <w:r>
        <w:t xml:space="preserve">En 2003 sur 116 offres d’emploi 26% requièrent une très bonne connaissance de l’anglais, 27% exigent du français et de l’anglais conjointement avec l’arabe. En 2007, la seule connaissance du français n’est plus suffisante pour accéder au marché de travail. C’est le trilinguisme professionnel qui est maintenant exigé par les employeurs mettant une annonce dans l’Orient-Le Jour. L’anglais seul voit sa part réduite et 13% seulement des offres d’emploi exigent une bonne maîtrise du français à côté de l’anglais. </w:t>
      </w:r>
    </w:p>
    <w:p w:rsidR="006158FF" w:rsidRDefault="006158FF" w:rsidP="006158FF">
      <w:pPr>
        <w:ind w:firstLine="567"/>
        <w:jc w:val="both"/>
      </w:pPr>
    </w:p>
    <w:p w:rsidR="006158FF" w:rsidRDefault="006158FF" w:rsidP="006158FF">
      <w:pPr>
        <w:spacing w:before="6" w:after="6"/>
        <w:jc w:val="both"/>
        <w:rPr>
          <w:szCs w:val="23"/>
        </w:rPr>
      </w:pPr>
      <w:r>
        <w:rPr>
          <w:szCs w:val="23"/>
        </w:rPr>
        <w:t xml:space="preserve">Quotidien francophone : </w:t>
      </w:r>
      <w:r>
        <w:rPr>
          <w:i/>
          <w:iCs/>
          <w:szCs w:val="23"/>
        </w:rPr>
        <w:t>L’Orient- Le jour-</w:t>
      </w:r>
      <w:r>
        <w:rPr>
          <w:szCs w:val="23"/>
        </w:rPr>
        <w:t> </w:t>
      </w:r>
      <w:r w:rsidRPr="00CF6C54">
        <w:rPr>
          <w:szCs w:val="23"/>
        </w:rPr>
        <w:t>Annonces du 25 avril au 25 mai</w:t>
      </w:r>
    </w:p>
    <w:p w:rsidR="006158FF" w:rsidRDefault="006158FF" w:rsidP="006158FF">
      <w:pPr>
        <w:spacing w:before="6" w:after="6"/>
        <w:jc w:val="both"/>
        <w:rPr>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992"/>
        <w:gridCol w:w="709"/>
        <w:gridCol w:w="851"/>
        <w:gridCol w:w="1134"/>
        <w:gridCol w:w="850"/>
        <w:gridCol w:w="756"/>
        <w:gridCol w:w="915"/>
        <w:gridCol w:w="816"/>
      </w:tblGrid>
      <w:tr w:rsidR="006158FF" w:rsidRPr="006158FF" w:rsidTr="00F0458B">
        <w:trPr>
          <w:trHeight w:val="138"/>
        </w:trPr>
        <w:tc>
          <w:tcPr>
            <w:tcW w:w="1384" w:type="dxa"/>
            <w:vMerge w:val="restart"/>
          </w:tcPr>
          <w:p w:rsidR="006158FF" w:rsidRPr="00AD593D" w:rsidRDefault="006158FF" w:rsidP="00F0458B">
            <w:pPr>
              <w:spacing w:before="6" w:after="6"/>
              <w:jc w:val="center"/>
              <w:rPr>
                <w:sz w:val="18"/>
                <w:szCs w:val="18"/>
              </w:rPr>
            </w:pPr>
          </w:p>
        </w:tc>
        <w:tc>
          <w:tcPr>
            <w:tcW w:w="3686" w:type="dxa"/>
            <w:gridSpan w:val="4"/>
          </w:tcPr>
          <w:p w:rsidR="006158FF" w:rsidRPr="00AD593D" w:rsidRDefault="006158FF" w:rsidP="00F0458B">
            <w:pPr>
              <w:spacing w:before="6" w:after="6"/>
              <w:jc w:val="center"/>
              <w:rPr>
                <w:sz w:val="18"/>
                <w:szCs w:val="18"/>
              </w:rPr>
            </w:pPr>
            <w:r w:rsidRPr="00AD593D">
              <w:rPr>
                <w:sz w:val="18"/>
                <w:szCs w:val="18"/>
              </w:rPr>
              <w:t>2003</w:t>
            </w:r>
          </w:p>
        </w:tc>
        <w:tc>
          <w:tcPr>
            <w:tcW w:w="3337" w:type="dxa"/>
            <w:gridSpan w:val="4"/>
          </w:tcPr>
          <w:p w:rsidR="006158FF" w:rsidRPr="00AD593D" w:rsidRDefault="006158FF" w:rsidP="00F0458B">
            <w:pPr>
              <w:spacing w:before="6" w:after="6"/>
              <w:jc w:val="center"/>
              <w:rPr>
                <w:sz w:val="18"/>
                <w:szCs w:val="18"/>
              </w:rPr>
            </w:pPr>
            <w:r w:rsidRPr="00AD593D">
              <w:rPr>
                <w:sz w:val="18"/>
                <w:szCs w:val="18"/>
              </w:rPr>
              <w:t>2007</w:t>
            </w:r>
          </w:p>
        </w:tc>
      </w:tr>
      <w:tr w:rsidR="006158FF" w:rsidRPr="006158FF" w:rsidTr="00F0458B">
        <w:tc>
          <w:tcPr>
            <w:tcW w:w="1384" w:type="dxa"/>
            <w:vMerge/>
          </w:tcPr>
          <w:p w:rsidR="006158FF" w:rsidRPr="00AD593D" w:rsidRDefault="006158FF" w:rsidP="00F0458B">
            <w:pPr>
              <w:spacing w:before="6" w:after="6"/>
              <w:jc w:val="center"/>
              <w:rPr>
                <w:sz w:val="18"/>
                <w:szCs w:val="18"/>
              </w:rPr>
            </w:pPr>
          </w:p>
        </w:tc>
        <w:tc>
          <w:tcPr>
            <w:tcW w:w="1701" w:type="dxa"/>
            <w:gridSpan w:val="2"/>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Langue requise</w:t>
            </w:r>
          </w:p>
        </w:tc>
        <w:tc>
          <w:tcPr>
            <w:tcW w:w="1985" w:type="dxa"/>
            <w:gridSpan w:val="2"/>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Langue de l’annonce</w:t>
            </w:r>
          </w:p>
        </w:tc>
        <w:tc>
          <w:tcPr>
            <w:tcW w:w="1606" w:type="dxa"/>
            <w:gridSpan w:val="2"/>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Langue requise</w:t>
            </w:r>
          </w:p>
        </w:tc>
        <w:tc>
          <w:tcPr>
            <w:tcW w:w="1731" w:type="dxa"/>
            <w:gridSpan w:val="2"/>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Langue de l’annonce</w:t>
            </w:r>
          </w:p>
        </w:tc>
      </w:tr>
      <w:tr w:rsidR="006158FF" w:rsidRPr="006158FF" w:rsidTr="00F0458B">
        <w:tc>
          <w:tcPr>
            <w:tcW w:w="1384" w:type="dxa"/>
          </w:tcPr>
          <w:p w:rsidR="006158FF" w:rsidRPr="00AD593D" w:rsidRDefault="006158FF" w:rsidP="00F0458B">
            <w:pPr>
              <w:spacing w:before="6" w:after="6"/>
              <w:jc w:val="center"/>
              <w:rPr>
                <w:sz w:val="18"/>
                <w:szCs w:val="18"/>
              </w:rPr>
            </w:pPr>
          </w:p>
        </w:tc>
        <w:tc>
          <w:tcPr>
            <w:tcW w:w="992" w:type="dxa"/>
            <w:tcBorders>
              <w:bottom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Nombre</w:t>
            </w:r>
          </w:p>
        </w:tc>
        <w:tc>
          <w:tcPr>
            <w:tcW w:w="709"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w:t>
            </w:r>
          </w:p>
        </w:tc>
        <w:tc>
          <w:tcPr>
            <w:tcW w:w="851" w:type="dxa"/>
            <w:tcBorders>
              <w:left w:val="single" w:sz="4" w:space="0" w:color="auto"/>
              <w:bottom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Nombre</w:t>
            </w:r>
          </w:p>
        </w:tc>
        <w:tc>
          <w:tcPr>
            <w:tcW w:w="1134"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w:t>
            </w:r>
          </w:p>
        </w:tc>
        <w:tc>
          <w:tcPr>
            <w:tcW w:w="850"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Nombre</w:t>
            </w:r>
          </w:p>
        </w:tc>
        <w:tc>
          <w:tcPr>
            <w:tcW w:w="756"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w:t>
            </w:r>
          </w:p>
        </w:tc>
        <w:tc>
          <w:tcPr>
            <w:tcW w:w="915" w:type="dxa"/>
            <w:tcBorders>
              <w:left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Nombre</w:t>
            </w:r>
          </w:p>
        </w:tc>
        <w:tc>
          <w:tcPr>
            <w:tcW w:w="816"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w:t>
            </w:r>
          </w:p>
        </w:tc>
      </w:tr>
      <w:tr w:rsidR="006158FF" w:rsidRPr="006158FF" w:rsidTr="00F0458B">
        <w:tc>
          <w:tcPr>
            <w:tcW w:w="1384" w:type="dxa"/>
          </w:tcPr>
          <w:p w:rsidR="006158FF" w:rsidRPr="00AD593D" w:rsidRDefault="006158FF" w:rsidP="00F0458B">
            <w:pPr>
              <w:spacing w:before="6" w:after="6"/>
              <w:jc w:val="center"/>
              <w:rPr>
                <w:sz w:val="18"/>
                <w:szCs w:val="18"/>
              </w:rPr>
            </w:pPr>
            <w:r w:rsidRPr="00AD593D">
              <w:rPr>
                <w:sz w:val="18"/>
                <w:szCs w:val="18"/>
              </w:rPr>
              <w:t xml:space="preserve">Anglais </w:t>
            </w:r>
          </w:p>
        </w:tc>
        <w:tc>
          <w:tcPr>
            <w:tcW w:w="992" w:type="dxa"/>
            <w:tcBorders>
              <w:top w:val="single" w:sz="4" w:space="0" w:color="auto"/>
              <w:bottom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6</w:t>
            </w:r>
          </w:p>
        </w:tc>
        <w:tc>
          <w:tcPr>
            <w:tcW w:w="709"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19.31</w:t>
            </w:r>
          </w:p>
        </w:tc>
        <w:tc>
          <w:tcPr>
            <w:tcW w:w="851" w:type="dxa"/>
            <w:tcBorders>
              <w:top w:val="single" w:sz="4" w:space="0" w:color="auto"/>
              <w:left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18</w:t>
            </w:r>
          </w:p>
        </w:tc>
        <w:tc>
          <w:tcPr>
            <w:tcW w:w="1134"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40.90</w:t>
            </w:r>
          </w:p>
        </w:tc>
        <w:tc>
          <w:tcPr>
            <w:tcW w:w="850"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3</w:t>
            </w:r>
          </w:p>
        </w:tc>
        <w:tc>
          <w:tcPr>
            <w:tcW w:w="756"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10.34</w:t>
            </w:r>
          </w:p>
        </w:tc>
        <w:tc>
          <w:tcPr>
            <w:tcW w:w="915" w:type="dxa"/>
            <w:tcBorders>
              <w:left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102</w:t>
            </w:r>
          </w:p>
        </w:tc>
        <w:tc>
          <w:tcPr>
            <w:tcW w:w="816"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63.35</w:t>
            </w:r>
          </w:p>
        </w:tc>
      </w:tr>
      <w:tr w:rsidR="006158FF" w:rsidRPr="006158FF" w:rsidTr="00F0458B">
        <w:tc>
          <w:tcPr>
            <w:tcW w:w="1384" w:type="dxa"/>
          </w:tcPr>
          <w:p w:rsidR="006158FF" w:rsidRPr="00AD593D" w:rsidRDefault="006158FF" w:rsidP="00F0458B">
            <w:pPr>
              <w:spacing w:before="6" w:after="6"/>
              <w:jc w:val="center"/>
              <w:rPr>
                <w:sz w:val="18"/>
                <w:szCs w:val="18"/>
              </w:rPr>
            </w:pPr>
            <w:r w:rsidRPr="00AD593D">
              <w:rPr>
                <w:sz w:val="18"/>
                <w:szCs w:val="18"/>
              </w:rPr>
              <w:t>Français</w:t>
            </w:r>
          </w:p>
        </w:tc>
        <w:tc>
          <w:tcPr>
            <w:tcW w:w="992" w:type="dxa"/>
            <w:tcBorders>
              <w:top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13</w:t>
            </w:r>
          </w:p>
        </w:tc>
        <w:tc>
          <w:tcPr>
            <w:tcW w:w="709"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42</w:t>
            </w:r>
          </w:p>
        </w:tc>
        <w:tc>
          <w:tcPr>
            <w:tcW w:w="851" w:type="dxa"/>
            <w:tcBorders>
              <w:left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26</w:t>
            </w:r>
          </w:p>
        </w:tc>
        <w:tc>
          <w:tcPr>
            <w:tcW w:w="1134"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59.09</w:t>
            </w:r>
          </w:p>
        </w:tc>
        <w:tc>
          <w:tcPr>
            <w:tcW w:w="850"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w:t>
            </w:r>
          </w:p>
        </w:tc>
        <w:tc>
          <w:tcPr>
            <w:tcW w:w="756"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w:t>
            </w:r>
          </w:p>
        </w:tc>
        <w:tc>
          <w:tcPr>
            <w:tcW w:w="915" w:type="dxa"/>
            <w:tcBorders>
              <w:left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59</w:t>
            </w:r>
          </w:p>
        </w:tc>
        <w:tc>
          <w:tcPr>
            <w:tcW w:w="816"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36.64</w:t>
            </w:r>
          </w:p>
        </w:tc>
      </w:tr>
      <w:tr w:rsidR="006158FF" w:rsidRPr="006158FF" w:rsidTr="00F0458B">
        <w:tc>
          <w:tcPr>
            <w:tcW w:w="1384" w:type="dxa"/>
          </w:tcPr>
          <w:p w:rsidR="006158FF" w:rsidRPr="00AD593D" w:rsidRDefault="006158FF" w:rsidP="00F0458B">
            <w:pPr>
              <w:spacing w:before="6" w:after="6"/>
              <w:jc w:val="center"/>
              <w:rPr>
                <w:sz w:val="18"/>
                <w:szCs w:val="18"/>
              </w:rPr>
            </w:pPr>
            <w:r w:rsidRPr="00AD593D">
              <w:rPr>
                <w:sz w:val="18"/>
                <w:szCs w:val="18"/>
              </w:rPr>
              <w:t>Trilingue</w:t>
            </w:r>
          </w:p>
        </w:tc>
        <w:tc>
          <w:tcPr>
            <w:tcW w:w="992"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12</w:t>
            </w:r>
          </w:p>
        </w:tc>
        <w:tc>
          <w:tcPr>
            <w:tcW w:w="709"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38.70</w:t>
            </w:r>
          </w:p>
        </w:tc>
        <w:tc>
          <w:tcPr>
            <w:tcW w:w="851" w:type="dxa"/>
            <w:tcBorders>
              <w:left w:val="single" w:sz="4" w:space="0" w:color="auto"/>
              <w:bottom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w:t>
            </w:r>
          </w:p>
        </w:tc>
        <w:tc>
          <w:tcPr>
            <w:tcW w:w="1134"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w:t>
            </w:r>
          </w:p>
        </w:tc>
        <w:tc>
          <w:tcPr>
            <w:tcW w:w="850"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26</w:t>
            </w:r>
          </w:p>
        </w:tc>
        <w:tc>
          <w:tcPr>
            <w:tcW w:w="756"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89.65</w:t>
            </w:r>
          </w:p>
        </w:tc>
        <w:tc>
          <w:tcPr>
            <w:tcW w:w="915" w:type="dxa"/>
            <w:tcBorders>
              <w:left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w:t>
            </w:r>
          </w:p>
        </w:tc>
        <w:tc>
          <w:tcPr>
            <w:tcW w:w="816"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w:t>
            </w:r>
          </w:p>
        </w:tc>
      </w:tr>
      <w:tr w:rsidR="006158FF" w:rsidRPr="006158FF" w:rsidTr="00F0458B">
        <w:tc>
          <w:tcPr>
            <w:tcW w:w="1384" w:type="dxa"/>
          </w:tcPr>
          <w:p w:rsidR="006158FF" w:rsidRPr="00AD593D" w:rsidRDefault="006158FF" w:rsidP="00F0458B">
            <w:pPr>
              <w:spacing w:before="6" w:after="6"/>
              <w:jc w:val="center"/>
              <w:rPr>
                <w:sz w:val="18"/>
                <w:szCs w:val="18"/>
              </w:rPr>
            </w:pPr>
            <w:r w:rsidRPr="00AD593D">
              <w:rPr>
                <w:sz w:val="18"/>
                <w:szCs w:val="18"/>
              </w:rPr>
              <w:t>Total</w:t>
            </w:r>
          </w:p>
        </w:tc>
        <w:tc>
          <w:tcPr>
            <w:tcW w:w="992"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31</w:t>
            </w:r>
          </w:p>
        </w:tc>
        <w:tc>
          <w:tcPr>
            <w:tcW w:w="709"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100</w:t>
            </w:r>
          </w:p>
        </w:tc>
        <w:tc>
          <w:tcPr>
            <w:tcW w:w="851" w:type="dxa"/>
            <w:tcBorders>
              <w:top w:val="single" w:sz="4" w:space="0" w:color="auto"/>
              <w:left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44</w:t>
            </w:r>
          </w:p>
        </w:tc>
        <w:tc>
          <w:tcPr>
            <w:tcW w:w="1134"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100</w:t>
            </w:r>
          </w:p>
        </w:tc>
        <w:tc>
          <w:tcPr>
            <w:tcW w:w="850"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29</w:t>
            </w:r>
          </w:p>
        </w:tc>
        <w:tc>
          <w:tcPr>
            <w:tcW w:w="756"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100</w:t>
            </w:r>
          </w:p>
        </w:tc>
        <w:tc>
          <w:tcPr>
            <w:tcW w:w="915" w:type="dxa"/>
            <w:tcBorders>
              <w:left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161</w:t>
            </w:r>
          </w:p>
        </w:tc>
        <w:tc>
          <w:tcPr>
            <w:tcW w:w="816"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100</w:t>
            </w:r>
          </w:p>
        </w:tc>
      </w:tr>
    </w:tbl>
    <w:p w:rsidR="006158FF" w:rsidRDefault="006158FF" w:rsidP="006158FF">
      <w:pPr>
        <w:pStyle w:val="Titre8"/>
        <w:rPr>
          <w:rFonts w:ascii="Times New Roman" w:hAnsi="Times New Roman"/>
          <w:i w:val="0"/>
          <w:szCs w:val="23"/>
        </w:rPr>
      </w:pPr>
      <w:r w:rsidRPr="001B32AD">
        <w:rPr>
          <w:rFonts w:ascii="Times New Roman" w:hAnsi="Times New Roman"/>
          <w:i w:val="0"/>
          <w:szCs w:val="23"/>
        </w:rPr>
        <w:t xml:space="preserve">Quotidien arabophone : </w:t>
      </w:r>
      <w:r w:rsidRPr="001B32AD">
        <w:rPr>
          <w:rFonts w:ascii="Times New Roman" w:hAnsi="Times New Roman"/>
          <w:i w:val="0"/>
          <w:iCs w:val="0"/>
          <w:szCs w:val="23"/>
        </w:rPr>
        <w:t>An Nahar</w:t>
      </w:r>
      <w:r w:rsidRPr="001B32AD">
        <w:rPr>
          <w:rFonts w:ascii="Times New Roman" w:hAnsi="Times New Roman"/>
          <w:i w:val="0"/>
          <w:szCs w:val="23"/>
        </w:rPr>
        <w:t xml:space="preserve"> – Annonces du 25 avril au 25 mai</w:t>
      </w:r>
    </w:p>
    <w:p w:rsidR="006158FF" w:rsidRPr="00327DBC" w:rsidRDefault="006158FF" w:rsidP="006158F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992"/>
        <w:gridCol w:w="709"/>
        <w:gridCol w:w="992"/>
        <w:gridCol w:w="993"/>
        <w:gridCol w:w="850"/>
        <w:gridCol w:w="756"/>
        <w:gridCol w:w="915"/>
        <w:gridCol w:w="816"/>
      </w:tblGrid>
      <w:tr w:rsidR="006158FF" w:rsidRPr="006158FF" w:rsidTr="00F0458B">
        <w:trPr>
          <w:trHeight w:val="138"/>
        </w:trPr>
        <w:tc>
          <w:tcPr>
            <w:tcW w:w="1384" w:type="dxa"/>
            <w:vMerge w:val="restart"/>
          </w:tcPr>
          <w:p w:rsidR="006158FF" w:rsidRPr="00AD593D" w:rsidRDefault="006158FF" w:rsidP="00F0458B">
            <w:pPr>
              <w:spacing w:before="6" w:after="6"/>
              <w:jc w:val="center"/>
              <w:rPr>
                <w:sz w:val="18"/>
                <w:szCs w:val="18"/>
              </w:rPr>
            </w:pPr>
          </w:p>
        </w:tc>
        <w:tc>
          <w:tcPr>
            <w:tcW w:w="3686" w:type="dxa"/>
            <w:gridSpan w:val="4"/>
          </w:tcPr>
          <w:p w:rsidR="006158FF" w:rsidRPr="00AD593D" w:rsidRDefault="006158FF" w:rsidP="00F0458B">
            <w:pPr>
              <w:spacing w:before="6" w:after="6"/>
              <w:jc w:val="center"/>
              <w:rPr>
                <w:sz w:val="18"/>
                <w:szCs w:val="18"/>
              </w:rPr>
            </w:pPr>
            <w:r w:rsidRPr="00AD593D">
              <w:rPr>
                <w:sz w:val="18"/>
                <w:szCs w:val="18"/>
              </w:rPr>
              <w:t>2003</w:t>
            </w:r>
          </w:p>
        </w:tc>
        <w:tc>
          <w:tcPr>
            <w:tcW w:w="3337" w:type="dxa"/>
            <w:gridSpan w:val="4"/>
          </w:tcPr>
          <w:p w:rsidR="006158FF" w:rsidRPr="00AD593D" w:rsidRDefault="006158FF" w:rsidP="00F0458B">
            <w:pPr>
              <w:spacing w:before="6" w:after="6"/>
              <w:jc w:val="center"/>
              <w:rPr>
                <w:sz w:val="18"/>
                <w:szCs w:val="18"/>
              </w:rPr>
            </w:pPr>
            <w:r w:rsidRPr="00AD593D">
              <w:rPr>
                <w:sz w:val="18"/>
                <w:szCs w:val="18"/>
              </w:rPr>
              <w:t>2007</w:t>
            </w:r>
          </w:p>
        </w:tc>
      </w:tr>
      <w:tr w:rsidR="006158FF" w:rsidRPr="006158FF" w:rsidTr="00F0458B">
        <w:tc>
          <w:tcPr>
            <w:tcW w:w="1384" w:type="dxa"/>
            <w:vMerge/>
          </w:tcPr>
          <w:p w:rsidR="006158FF" w:rsidRPr="00AD593D" w:rsidRDefault="006158FF" w:rsidP="00F0458B">
            <w:pPr>
              <w:spacing w:before="6" w:after="6"/>
              <w:jc w:val="center"/>
              <w:rPr>
                <w:sz w:val="18"/>
                <w:szCs w:val="18"/>
              </w:rPr>
            </w:pPr>
          </w:p>
        </w:tc>
        <w:tc>
          <w:tcPr>
            <w:tcW w:w="1701" w:type="dxa"/>
            <w:gridSpan w:val="2"/>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Langue requise</w:t>
            </w:r>
          </w:p>
        </w:tc>
        <w:tc>
          <w:tcPr>
            <w:tcW w:w="1985" w:type="dxa"/>
            <w:gridSpan w:val="2"/>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Langue de l’annonce</w:t>
            </w:r>
          </w:p>
        </w:tc>
        <w:tc>
          <w:tcPr>
            <w:tcW w:w="1606" w:type="dxa"/>
            <w:gridSpan w:val="2"/>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Langue requise</w:t>
            </w:r>
          </w:p>
        </w:tc>
        <w:tc>
          <w:tcPr>
            <w:tcW w:w="1731" w:type="dxa"/>
            <w:gridSpan w:val="2"/>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Langue de l’annonce</w:t>
            </w:r>
          </w:p>
        </w:tc>
      </w:tr>
      <w:tr w:rsidR="006158FF" w:rsidRPr="006158FF" w:rsidTr="00F0458B">
        <w:tc>
          <w:tcPr>
            <w:tcW w:w="1384" w:type="dxa"/>
          </w:tcPr>
          <w:p w:rsidR="006158FF" w:rsidRPr="00AD593D" w:rsidRDefault="006158FF" w:rsidP="00F0458B">
            <w:pPr>
              <w:spacing w:before="6" w:after="6"/>
              <w:jc w:val="center"/>
              <w:rPr>
                <w:sz w:val="18"/>
                <w:szCs w:val="18"/>
              </w:rPr>
            </w:pPr>
          </w:p>
        </w:tc>
        <w:tc>
          <w:tcPr>
            <w:tcW w:w="992" w:type="dxa"/>
            <w:tcBorders>
              <w:bottom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Nombre</w:t>
            </w:r>
          </w:p>
        </w:tc>
        <w:tc>
          <w:tcPr>
            <w:tcW w:w="709"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w:t>
            </w:r>
          </w:p>
        </w:tc>
        <w:tc>
          <w:tcPr>
            <w:tcW w:w="992" w:type="dxa"/>
            <w:tcBorders>
              <w:left w:val="single" w:sz="4" w:space="0" w:color="auto"/>
              <w:bottom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Nombre</w:t>
            </w:r>
          </w:p>
        </w:tc>
        <w:tc>
          <w:tcPr>
            <w:tcW w:w="993"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w:t>
            </w:r>
          </w:p>
        </w:tc>
        <w:tc>
          <w:tcPr>
            <w:tcW w:w="850"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Nombre</w:t>
            </w:r>
          </w:p>
        </w:tc>
        <w:tc>
          <w:tcPr>
            <w:tcW w:w="756"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w:t>
            </w:r>
          </w:p>
        </w:tc>
        <w:tc>
          <w:tcPr>
            <w:tcW w:w="915" w:type="dxa"/>
            <w:tcBorders>
              <w:left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Nombre</w:t>
            </w:r>
          </w:p>
        </w:tc>
        <w:tc>
          <w:tcPr>
            <w:tcW w:w="816"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w:t>
            </w:r>
          </w:p>
        </w:tc>
      </w:tr>
      <w:tr w:rsidR="006158FF" w:rsidRPr="006158FF" w:rsidTr="00F0458B">
        <w:tc>
          <w:tcPr>
            <w:tcW w:w="1384" w:type="dxa"/>
          </w:tcPr>
          <w:p w:rsidR="006158FF" w:rsidRPr="00AD593D" w:rsidRDefault="006158FF" w:rsidP="00F0458B">
            <w:pPr>
              <w:spacing w:before="6" w:after="6"/>
              <w:jc w:val="center"/>
              <w:rPr>
                <w:sz w:val="18"/>
                <w:szCs w:val="18"/>
              </w:rPr>
            </w:pPr>
            <w:r w:rsidRPr="00AD593D">
              <w:rPr>
                <w:sz w:val="18"/>
                <w:szCs w:val="18"/>
              </w:rPr>
              <w:t>Arabe</w:t>
            </w:r>
          </w:p>
        </w:tc>
        <w:tc>
          <w:tcPr>
            <w:tcW w:w="992" w:type="dxa"/>
            <w:tcBorders>
              <w:top w:val="single" w:sz="4" w:space="0" w:color="auto"/>
              <w:bottom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1</w:t>
            </w:r>
          </w:p>
        </w:tc>
        <w:tc>
          <w:tcPr>
            <w:tcW w:w="709"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2.38</w:t>
            </w:r>
          </w:p>
        </w:tc>
        <w:tc>
          <w:tcPr>
            <w:tcW w:w="992" w:type="dxa"/>
            <w:tcBorders>
              <w:top w:val="single" w:sz="4" w:space="0" w:color="auto"/>
              <w:left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28</w:t>
            </w:r>
          </w:p>
        </w:tc>
        <w:tc>
          <w:tcPr>
            <w:tcW w:w="993"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38</w:t>
            </w:r>
          </w:p>
        </w:tc>
        <w:tc>
          <w:tcPr>
            <w:tcW w:w="850"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19</w:t>
            </w:r>
          </w:p>
        </w:tc>
        <w:tc>
          <w:tcPr>
            <w:tcW w:w="756"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48.71</w:t>
            </w:r>
          </w:p>
        </w:tc>
        <w:tc>
          <w:tcPr>
            <w:tcW w:w="915" w:type="dxa"/>
            <w:tcBorders>
              <w:left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42</w:t>
            </w:r>
          </w:p>
        </w:tc>
        <w:tc>
          <w:tcPr>
            <w:tcW w:w="816"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21.53</w:t>
            </w:r>
          </w:p>
        </w:tc>
      </w:tr>
      <w:tr w:rsidR="006158FF" w:rsidRPr="006158FF" w:rsidTr="00F0458B">
        <w:tc>
          <w:tcPr>
            <w:tcW w:w="1384" w:type="dxa"/>
          </w:tcPr>
          <w:p w:rsidR="006158FF" w:rsidRPr="00AD593D" w:rsidRDefault="006158FF" w:rsidP="00F0458B">
            <w:pPr>
              <w:spacing w:before="6" w:after="6"/>
              <w:jc w:val="center"/>
              <w:rPr>
                <w:sz w:val="18"/>
                <w:szCs w:val="18"/>
              </w:rPr>
            </w:pPr>
            <w:r w:rsidRPr="00AD593D">
              <w:rPr>
                <w:sz w:val="18"/>
                <w:szCs w:val="18"/>
              </w:rPr>
              <w:t xml:space="preserve">Anglais </w:t>
            </w:r>
          </w:p>
        </w:tc>
        <w:tc>
          <w:tcPr>
            <w:tcW w:w="992" w:type="dxa"/>
            <w:tcBorders>
              <w:top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18</w:t>
            </w:r>
          </w:p>
        </w:tc>
        <w:tc>
          <w:tcPr>
            <w:tcW w:w="709"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42.85</w:t>
            </w:r>
          </w:p>
        </w:tc>
        <w:tc>
          <w:tcPr>
            <w:tcW w:w="992" w:type="dxa"/>
            <w:tcBorders>
              <w:left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32</w:t>
            </w:r>
          </w:p>
        </w:tc>
        <w:tc>
          <w:tcPr>
            <w:tcW w:w="993"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44</w:t>
            </w:r>
          </w:p>
        </w:tc>
        <w:tc>
          <w:tcPr>
            <w:tcW w:w="850"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w:t>
            </w:r>
          </w:p>
        </w:tc>
        <w:tc>
          <w:tcPr>
            <w:tcW w:w="756"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w:t>
            </w:r>
          </w:p>
        </w:tc>
        <w:tc>
          <w:tcPr>
            <w:tcW w:w="915" w:type="dxa"/>
            <w:tcBorders>
              <w:left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126</w:t>
            </w:r>
          </w:p>
        </w:tc>
        <w:tc>
          <w:tcPr>
            <w:tcW w:w="816"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64.61</w:t>
            </w:r>
          </w:p>
        </w:tc>
      </w:tr>
      <w:tr w:rsidR="006158FF" w:rsidRPr="006158FF" w:rsidTr="00F0458B">
        <w:tc>
          <w:tcPr>
            <w:tcW w:w="1384" w:type="dxa"/>
          </w:tcPr>
          <w:p w:rsidR="006158FF" w:rsidRPr="00AD593D" w:rsidRDefault="006158FF" w:rsidP="00F0458B">
            <w:pPr>
              <w:spacing w:before="6" w:after="6"/>
              <w:jc w:val="center"/>
              <w:rPr>
                <w:sz w:val="18"/>
                <w:szCs w:val="18"/>
              </w:rPr>
            </w:pPr>
            <w:r w:rsidRPr="00AD593D">
              <w:rPr>
                <w:sz w:val="18"/>
                <w:szCs w:val="18"/>
              </w:rPr>
              <w:t>Français</w:t>
            </w:r>
          </w:p>
        </w:tc>
        <w:tc>
          <w:tcPr>
            <w:tcW w:w="992"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8</w:t>
            </w:r>
          </w:p>
        </w:tc>
        <w:tc>
          <w:tcPr>
            <w:tcW w:w="709"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19.04</w:t>
            </w:r>
          </w:p>
        </w:tc>
        <w:tc>
          <w:tcPr>
            <w:tcW w:w="992" w:type="dxa"/>
            <w:tcBorders>
              <w:left w:val="single" w:sz="4" w:space="0" w:color="auto"/>
              <w:bottom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11</w:t>
            </w:r>
          </w:p>
        </w:tc>
        <w:tc>
          <w:tcPr>
            <w:tcW w:w="993"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15.27</w:t>
            </w:r>
          </w:p>
        </w:tc>
        <w:tc>
          <w:tcPr>
            <w:tcW w:w="850"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5</w:t>
            </w:r>
          </w:p>
        </w:tc>
        <w:tc>
          <w:tcPr>
            <w:tcW w:w="756"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12.82</w:t>
            </w:r>
          </w:p>
        </w:tc>
        <w:tc>
          <w:tcPr>
            <w:tcW w:w="915" w:type="dxa"/>
            <w:tcBorders>
              <w:left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27</w:t>
            </w:r>
          </w:p>
        </w:tc>
        <w:tc>
          <w:tcPr>
            <w:tcW w:w="816"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13.84</w:t>
            </w:r>
          </w:p>
        </w:tc>
      </w:tr>
      <w:tr w:rsidR="006158FF" w:rsidRPr="006158FF" w:rsidTr="00F0458B">
        <w:tc>
          <w:tcPr>
            <w:tcW w:w="1384" w:type="dxa"/>
          </w:tcPr>
          <w:p w:rsidR="006158FF" w:rsidRPr="00AD593D" w:rsidRDefault="006158FF" w:rsidP="00F0458B">
            <w:pPr>
              <w:spacing w:before="6" w:after="6"/>
              <w:jc w:val="center"/>
              <w:rPr>
                <w:sz w:val="18"/>
                <w:szCs w:val="18"/>
              </w:rPr>
            </w:pPr>
            <w:r w:rsidRPr="00AD593D">
              <w:rPr>
                <w:sz w:val="18"/>
                <w:szCs w:val="18"/>
              </w:rPr>
              <w:t>Trilingue</w:t>
            </w:r>
          </w:p>
        </w:tc>
        <w:tc>
          <w:tcPr>
            <w:tcW w:w="992"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15</w:t>
            </w:r>
          </w:p>
        </w:tc>
        <w:tc>
          <w:tcPr>
            <w:tcW w:w="709"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35.71</w:t>
            </w:r>
          </w:p>
        </w:tc>
        <w:tc>
          <w:tcPr>
            <w:tcW w:w="992" w:type="dxa"/>
            <w:tcBorders>
              <w:top w:val="single" w:sz="4" w:space="0" w:color="auto"/>
              <w:left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1</w:t>
            </w:r>
          </w:p>
        </w:tc>
        <w:tc>
          <w:tcPr>
            <w:tcW w:w="993"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1.38</w:t>
            </w:r>
          </w:p>
        </w:tc>
        <w:tc>
          <w:tcPr>
            <w:tcW w:w="850"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15</w:t>
            </w:r>
          </w:p>
        </w:tc>
        <w:tc>
          <w:tcPr>
            <w:tcW w:w="756"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38.46</w:t>
            </w:r>
          </w:p>
        </w:tc>
        <w:tc>
          <w:tcPr>
            <w:tcW w:w="915" w:type="dxa"/>
            <w:tcBorders>
              <w:left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w:t>
            </w:r>
          </w:p>
        </w:tc>
        <w:tc>
          <w:tcPr>
            <w:tcW w:w="816"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w:t>
            </w:r>
          </w:p>
        </w:tc>
      </w:tr>
      <w:tr w:rsidR="006158FF" w:rsidRPr="006158FF" w:rsidTr="00F0458B">
        <w:tc>
          <w:tcPr>
            <w:tcW w:w="1384" w:type="dxa"/>
          </w:tcPr>
          <w:p w:rsidR="006158FF" w:rsidRPr="00AD593D" w:rsidRDefault="006158FF" w:rsidP="00F0458B">
            <w:pPr>
              <w:spacing w:before="6" w:after="6"/>
              <w:jc w:val="center"/>
              <w:rPr>
                <w:sz w:val="18"/>
                <w:szCs w:val="18"/>
              </w:rPr>
            </w:pPr>
            <w:r w:rsidRPr="00AD593D">
              <w:rPr>
                <w:sz w:val="18"/>
                <w:szCs w:val="18"/>
              </w:rPr>
              <w:t>T otal</w:t>
            </w:r>
          </w:p>
        </w:tc>
        <w:tc>
          <w:tcPr>
            <w:tcW w:w="992"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42</w:t>
            </w:r>
          </w:p>
        </w:tc>
        <w:tc>
          <w:tcPr>
            <w:tcW w:w="709"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100</w:t>
            </w:r>
          </w:p>
        </w:tc>
        <w:tc>
          <w:tcPr>
            <w:tcW w:w="992" w:type="dxa"/>
            <w:tcBorders>
              <w:top w:val="single" w:sz="4" w:space="0" w:color="auto"/>
              <w:left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72</w:t>
            </w:r>
          </w:p>
        </w:tc>
        <w:tc>
          <w:tcPr>
            <w:tcW w:w="993"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100</w:t>
            </w:r>
          </w:p>
        </w:tc>
        <w:tc>
          <w:tcPr>
            <w:tcW w:w="850"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39</w:t>
            </w:r>
          </w:p>
        </w:tc>
        <w:tc>
          <w:tcPr>
            <w:tcW w:w="756" w:type="dxa"/>
            <w:tcBorders>
              <w:right w:val="single" w:sz="4" w:space="0" w:color="auto"/>
            </w:tcBorders>
          </w:tcPr>
          <w:p w:rsidR="006158FF" w:rsidRPr="00AD593D" w:rsidRDefault="006158FF" w:rsidP="00F0458B">
            <w:pPr>
              <w:spacing w:before="6" w:after="6"/>
              <w:jc w:val="center"/>
              <w:rPr>
                <w:sz w:val="18"/>
                <w:szCs w:val="18"/>
              </w:rPr>
            </w:pPr>
            <w:r w:rsidRPr="00AD593D">
              <w:rPr>
                <w:sz w:val="18"/>
                <w:szCs w:val="18"/>
              </w:rPr>
              <w:t>100</w:t>
            </w:r>
          </w:p>
        </w:tc>
        <w:tc>
          <w:tcPr>
            <w:tcW w:w="915" w:type="dxa"/>
            <w:tcBorders>
              <w:left w:val="single" w:sz="4" w:space="0" w:color="auto"/>
              <w:right w:val="single" w:sz="4" w:space="0" w:color="auto"/>
            </w:tcBorders>
          </w:tcPr>
          <w:p w:rsidR="006158FF" w:rsidRPr="00AD593D" w:rsidRDefault="006158FF" w:rsidP="00F0458B">
            <w:pPr>
              <w:spacing w:before="6" w:after="6"/>
              <w:jc w:val="center"/>
              <w:rPr>
                <w:sz w:val="18"/>
                <w:szCs w:val="18"/>
              </w:rPr>
            </w:pPr>
            <w:r w:rsidRPr="00AD593D">
              <w:rPr>
                <w:sz w:val="18"/>
                <w:szCs w:val="18"/>
              </w:rPr>
              <w:t>195</w:t>
            </w:r>
          </w:p>
        </w:tc>
        <w:tc>
          <w:tcPr>
            <w:tcW w:w="816" w:type="dxa"/>
            <w:tcBorders>
              <w:left w:val="single" w:sz="4" w:space="0" w:color="auto"/>
            </w:tcBorders>
          </w:tcPr>
          <w:p w:rsidR="006158FF" w:rsidRPr="00AD593D" w:rsidRDefault="006158FF" w:rsidP="00F0458B">
            <w:pPr>
              <w:spacing w:before="6" w:after="6"/>
              <w:jc w:val="center"/>
              <w:rPr>
                <w:sz w:val="18"/>
                <w:szCs w:val="18"/>
              </w:rPr>
            </w:pPr>
            <w:r w:rsidRPr="00AD593D">
              <w:rPr>
                <w:sz w:val="18"/>
                <w:szCs w:val="18"/>
              </w:rPr>
              <w:t>100</w:t>
            </w:r>
          </w:p>
        </w:tc>
      </w:tr>
    </w:tbl>
    <w:p w:rsidR="006158FF" w:rsidRDefault="006158FF" w:rsidP="006158FF"/>
    <w:p w:rsidR="006158FF" w:rsidRDefault="006158FF" w:rsidP="006158FF">
      <w:pPr>
        <w:ind w:firstLine="567"/>
        <w:jc w:val="both"/>
      </w:pPr>
      <w:r>
        <w:t xml:space="preserve">Traditionnellement le français se cantonne dans les métiers de la vente et du secrétariat. Cependant, en 2007, sa connaissance est aussi souhaitée voire requise dans des professions de « tradition anglophone », comme l’architecture et le marketing, à moindre degré les affaires, l’informatique. Certaines annonces rédigées en anglais précisent maintenant « french Is a must ». En un mot, dans un pays où le taux de chômage frôle les 30%, le français reste un atout à côté de l’anglais. </w:t>
      </w:r>
    </w:p>
    <w:p w:rsidR="006158FF" w:rsidRDefault="006158FF" w:rsidP="006158FF">
      <w:pPr>
        <w:jc w:val="both"/>
        <w:rPr>
          <w:b/>
          <w:bCs/>
          <w:i/>
          <w:iCs/>
          <w:sz w:val="26"/>
          <w:szCs w:val="26"/>
        </w:rPr>
      </w:pPr>
    </w:p>
    <w:p w:rsidR="006158FF" w:rsidRDefault="006158FF" w:rsidP="006158FF">
      <w:pPr>
        <w:jc w:val="both"/>
        <w:rPr>
          <w:b/>
          <w:bCs/>
          <w:i/>
          <w:iCs/>
          <w:sz w:val="26"/>
          <w:szCs w:val="26"/>
        </w:rPr>
      </w:pPr>
      <w:r>
        <w:rPr>
          <w:b/>
          <w:bCs/>
          <w:i/>
          <w:iCs/>
          <w:sz w:val="26"/>
          <w:szCs w:val="26"/>
        </w:rPr>
        <w:t xml:space="preserve">3. Enseignes et langues occidentales </w:t>
      </w:r>
    </w:p>
    <w:p w:rsidR="006158FF" w:rsidRDefault="006158FF" w:rsidP="006158FF">
      <w:pPr>
        <w:jc w:val="both"/>
      </w:pPr>
    </w:p>
    <w:p w:rsidR="006158FF" w:rsidRDefault="006158FF" w:rsidP="006158FF">
      <w:pPr>
        <w:jc w:val="both"/>
      </w:pPr>
      <w:r>
        <w:t>Beyrouth s’américanise, tel est le constat que l’on peut faire lorsqu’on se promène en ville. Récemment le directeur de l’ABC, l’un des grands centres commerciaux de la capitale, justifiait le recours des nouveaux commerces à l’anglais comme suit: « Au Liban, le français n’est plus vendeur</w:t>
      </w:r>
      <w:r>
        <w:rPr>
          <w:sz w:val="20"/>
          <w:szCs w:val="20"/>
          <w:vertAlign w:val="superscript"/>
          <w:lang w:val="en-GB"/>
        </w:rPr>
        <w:footnoteReference w:id="10"/>
      </w:r>
      <w:r>
        <w:t xml:space="preserve">. » Pour ne pas rester sur des impressions, nous avons enquêté dans trois rues commerçantes rue Hamra, rue Achrafié et rue Mar Elias. Sur environ 302 enseignes répertoriées, 79 sont en anglais, 64 sont bilingues arabe/ anglais, 65 sont monolingues français, 37 sont bilingues arabe/ français. 17 enseignes sont exclusivement arabes. </w:t>
      </w:r>
    </w:p>
    <w:p w:rsidR="006158FF" w:rsidRDefault="006158FF" w:rsidP="006158FF">
      <w:pPr>
        <w:jc w:val="both"/>
      </w:pPr>
    </w:p>
    <w:p w:rsidR="006158FF" w:rsidRDefault="006158FF" w:rsidP="006158FF">
      <w:pPr>
        <w:spacing w:before="6" w:after="6"/>
        <w:jc w:val="both"/>
      </w:pPr>
    </w:p>
    <w:p w:rsidR="006158FF" w:rsidRDefault="006158FF" w:rsidP="006158FF">
      <w:pPr>
        <w:spacing w:before="6" w:after="6"/>
        <w:jc w:val="both"/>
      </w:pPr>
    </w:p>
    <w:p w:rsidR="006158FF" w:rsidRDefault="006158FF" w:rsidP="006158FF">
      <w:pPr>
        <w:spacing w:before="6" w:after="6"/>
        <w:jc w:val="both"/>
      </w:pPr>
    </w:p>
    <w:p w:rsidR="006158FF" w:rsidRDefault="006158FF" w:rsidP="006158FF">
      <w:pPr>
        <w:spacing w:before="6" w:after="6"/>
        <w:jc w:val="both"/>
      </w:pPr>
    </w:p>
    <w:p w:rsidR="006158FF" w:rsidRDefault="006158FF" w:rsidP="006158FF">
      <w:pPr>
        <w:spacing w:before="6" w:after="6"/>
        <w:jc w:val="both"/>
      </w:pPr>
    </w:p>
    <w:p w:rsidR="006158FF" w:rsidRDefault="006158FF" w:rsidP="006158FF">
      <w:pPr>
        <w:spacing w:before="6" w:after="6"/>
        <w:jc w:val="both"/>
      </w:pPr>
    </w:p>
    <w:p w:rsidR="006158FF" w:rsidRPr="00626E31" w:rsidRDefault="006158FF" w:rsidP="006158FF">
      <w:pPr>
        <w:spacing w:before="6" w:after="6"/>
        <w:jc w:val="both"/>
      </w:pPr>
      <w:r>
        <w:t>Choix de la (les) l</w:t>
      </w:r>
      <w:r w:rsidRPr="00626E31">
        <w:t>angue</w:t>
      </w:r>
      <w:r>
        <w:t>(</w:t>
      </w:r>
      <w:r w:rsidRPr="00626E31">
        <w:t>s</w:t>
      </w:r>
      <w:r>
        <w:t>)</w:t>
      </w:r>
      <w:r w:rsidRPr="00626E31">
        <w:t xml:space="preserve"> des enseignes </w:t>
      </w:r>
      <w:r>
        <w:t>à Beyrouth</w:t>
      </w:r>
      <w:r w:rsidRPr="00626E31">
        <w:t>:</w:t>
      </w:r>
    </w:p>
    <w:p w:rsidR="006158FF" w:rsidRPr="000E5544" w:rsidRDefault="006158FF" w:rsidP="006158FF">
      <w:pPr>
        <w:spacing w:before="6" w:after="6"/>
        <w:jc w:val="both"/>
      </w:pP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1"/>
        <w:gridCol w:w="1215"/>
        <w:gridCol w:w="770"/>
        <w:gridCol w:w="1134"/>
        <w:gridCol w:w="850"/>
        <w:gridCol w:w="1418"/>
        <w:gridCol w:w="1276"/>
      </w:tblGrid>
      <w:tr w:rsidR="006158FF" w:rsidRPr="006158FF" w:rsidTr="00F0458B">
        <w:tc>
          <w:tcPr>
            <w:tcW w:w="1771" w:type="dxa"/>
          </w:tcPr>
          <w:p w:rsidR="006158FF" w:rsidRPr="00AD593D" w:rsidRDefault="006158FF" w:rsidP="00F0458B">
            <w:pPr>
              <w:spacing w:before="6" w:after="6"/>
              <w:jc w:val="center"/>
              <w:rPr>
                <w:b/>
                <w:bCs/>
                <w:sz w:val="18"/>
                <w:szCs w:val="18"/>
              </w:rPr>
            </w:pPr>
          </w:p>
        </w:tc>
        <w:tc>
          <w:tcPr>
            <w:tcW w:w="1985" w:type="dxa"/>
            <w:gridSpan w:val="2"/>
          </w:tcPr>
          <w:p w:rsidR="006158FF" w:rsidRPr="00AD593D" w:rsidRDefault="006158FF" w:rsidP="00F0458B">
            <w:pPr>
              <w:pStyle w:val="Notedebasdepage"/>
              <w:spacing w:before="6" w:after="6"/>
              <w:jc w:val="center"/>
              <w:rPr>
                <w:b/>
                <w:sz w:val="18"/>
                <w:szCs w:val="18"/>
              </w:rPr>
            </w:pPr>
            <w:r w:rsidRPr="00AD593D">
              <w:rPr>
                <w:b/>
                <w:bCs/>
                <w:sz w:val="18"/>
                <w:szCs w:val="18"/>
              </w:rPr>
              <w:t>Rue Achrafieh</w:t>
            </w:r>
          </w:p>
        </w:tc>
        <w:tc>
          <w:tcPr>
            <w:tcW w:w="1984" w:type="dxa"/>
            <w:gridSpan w:val="2"/>
          </w:tcPr>
          <w:p w:rsidR="006158FF" w:rsidRPr="00AD593D" w:rsidRDefault="006158FF" w:rsidP="00F0458B">
            <w:pPr>
              <w:pStyle w:val="Notedebasdepage"/>
              <w:spacing w:before="6" w:after="6"/>
              <w:jc w:val="center"/>
              <w:rPr>
                <w:b/>
                <w:sz w:val="18"/>
                <w:szCs w:val="18"/>
              </w:rPr>
            </w:pPr>
            <w:r w:rsidRPr="00AD593D">
              <w:rPr>
                <w:b/>
                <w:bCs/>
                <w:sz w:val="18"/>
                <w:szCs w:val="18"/>
              </w:rPr>
              <w:t>Rue Hamra</w:t>
            </w:r>
          </w:p>
        </w:tc>
        <w:tc>
          <w:tcPr>
            <w:tcW w:w="2694" w:type="dxa"/>
            <w:gridSpan w:val="2"/>
          </w:tcPr>
          <w:p w:rsidR="006158FF" w:rsidRPr="00AD593D" w:rsidRDefault="006158FF" w:rsidP="00F0458B">
            <w:pPr>
              <w:pStyle w:val="Notedebasdepage"/>
              <w:spacing w:before="6" w:after="6"/>
              <w:jc w:val="center"/>
              <w:rPr>
                <w:b/>
                <w:sz w:val="18"/>
                <w:szCs w:val="18"/>
              </w:rPr>
            </w:pPr>
            <w:r w:rsidRPr="00AD593D">
              <w:rPr>
                <w:b/>
                <w:sz w:val="18"/>
                <w:szCs w:val="18"/>
              </w:rPr>
              <w:t>Rue Mar Elias</w:t>
            </w:r>
          </w:p>
        </w:tc>
      </w:tr>
      <w:tr w:rsidR="006158FF" w:rsidRPr="006158FF" w:rsidTr="00F0458B">
        <w:tc>
          <w:tcPr>
            <w:tcW w:w="1771" w:type="dxa"/>
          </w:tcPr>
          <w:p w:rsidR="006158FF" w:rsidRPr="00AD593D" w:rsidRDefault="006158FF" w:rsidP="00F0458B">
            <w:pPr>
              <w:spacing w:before="6" w:after="6"/>
              <w:jc w:val="center"/>
              <w:rPr>
                <w:sz w:val="18"/>
                <w:szCs w:val="18"/>
              </w:rPr>
            </w:pPr>
          </w:p>
        </w:tc>
        <w:tc>
          <w:tcPr>
            <w:tcW w:w="1215" w:type="dxa"/>
          </w:tcPr>
          <w:p w:rsidR="006158FF" w:rsidRPr="00AD593D" w:rsidRDefault="006158FF" w:rsidP="00F0458B">
            <w:pPr>
              <w:spacing w:before="6" w:after="6"/>
              <w:jc w:val="center"/>
              <w:rPr>
                <w:sz w:val="18"/>
                <w:szCs w:val="18"/>
              </w:rPr>
            </w:pPr>
            <w:r w:rsidRPr="00AD593D">
              <w:rPr>
                <w:sz w:val="18"/>
                <w:szCs w:val="18"/>
              </w:rPr>
              <w:t>Nombre</w:t>
            </w:r>
          </w:p>
        </w:tc>
        <w:tc>
          <w:tcPr>
            <w:tcW w:w="770" w:type="dxa"/>
          </w:tcPr>
          <w:p w:rsidR="006158FF" w:rsidRPr="00AD593D" w:rsidRDefault="006158FF" w:rsidP="00F0458B">
            <w:pPr>
              <w:spacing w:before="6" w:after="6"/>
              <w:jc w:val="center"/>
              <w:rPr>
                <w:sz w:val="18"/>
                <w:szCs w:val="18"/>
              </w:rPr>
            </w:pPr>
            <w:r w:rsidRPr="00AD593D">
              <w:rPr>
                <w:sz w:val="18"/>
                <w:szCs w:val="18"/>
              </w:rPr>
              <w:t>%</w:t>
            </w:r>
          </w:p>
        </w:tc>
        <w:tc>
          <w:tcPr>
            <w:tcW w:w="1134" w:type="dxa"/>
          </w:tcPr>
          <w:p w:rsidR="006158FF" w:rsidRPr="00AD593D" w:rsidRDefault="006158FF" w:rsidP="00F0458B">
            <w:pPr>
              <w:spacing w:before="6" w:after="6"/>
              <w:jc w:val="center"/>
              <w:rPr>
                <w:sz w:val="18"/>
                <w:szCs w:val="18"/>
              </w:rPr>
            </w:pPr>
            <w:r w:rsidRPr="00AD593D">
              <w:rPr>
                <w:sz w:val="18"/>
                <w:szCs w:val="18"/>
              </w:rPr>
              <w:t>Nombre</w:t>
            </w:r>
          </w:p>
        </w:tc>
        <w:tc>
          <w:tcPr>
            <w:tcW w:w="850" w:type="dxa"/>
          </w:tcPr>
          <w:p w:rsidR="006158FF" w:rsidRPr="00AD593D" w:rsidRDefault="006158FF" w:rsidP="00F0458B">
            <w:pPr>
              <w:spacing w:before="6" w:after="6"/>
              <w:jc w:val="center"/>
              <w:rPr>
                <w:sz w:val="18"/>
                <w:szCs w:val="18"/>
              </w:rPr>
            </w:pPr>
            <w:r w:rsidRPr="00AD593D">
              <w:rPr>
                <w:sz w:val="18"/>
                <w:szCs w:val="18"/>
              </w:rPr>
              <w:t>%</w:t>
            </w:r>
          </w:p>
        </w:tc>
        <w:tc>
          <w:tcPr>
            <w:tcW w:w="1418" w:type="dxa"/>
          </w:tcPr>
          <w:p w:rsidR="006158FF" w:rsidRPr="00AD593D" w:rsidRDefault="006158FF" w:rsidP="00F0458B">
            <w:pPr>
              <w:spacing w:before="6" w:after="6"/>
              <w:jc w:val="center"/>
              <w:rPr>
                <w:sz w:val="18"/>
                <w:szCs w:val="18"/>
              </w:rPr>
            </w:pPr>
            <w:r w:rsidRPr="00AD593D">
              <w:rPr>
                <w:sz w:val="18"/>
                <w:szCs w:val="18"/>
              </w:rPr>
              <w:t>Nombre</w:t>
            </w:r>
          </w:p>
        </w:tc>
        <w:tc>
          <w:tcPr>
            <w:tcW w:w="1276" w:type="dxa"/>
          </w:tcPr>
          <w:p w:rsidR="006158FF" w:rsidRPr="00AD593D" w:rsidRDefault="006158FF" w:rsidP="00F0458B">
            <w:pPr>
              <w:spacing w:before="6" w:after="6"/>
              <w:jc w:val="center"/>
              <w:rPr>
                <w:sz w:val="18"/>
                <w:szCs w:val="18"/>
              </w:rPr>
            </w:pPr>
            <w:r w:rsidRPr="00AD593D">
              <w:rPr>
                <w:sz w:val="18"/>
                <w:szCs w:val="18"/>
              </w:rPr>
              <w:t>%</w:t>
            </w:r>
          </w:p>
        </w:tc>
      </w:tr>
      <w:tr w:rsidR="006158FF" w:rsidRPr="006158FF" w:rsidTr="00F0458B">
        <w:tc>
          <w:tcPr>
            <w:tcW w:w="1771" w:type="dxa"/>
          </w:tcPr>
          <w:p w:rsidR="006158FF" w:rsidRPr="00AD593D" w:rsidRDefault="006158FF" w:rsidP="00F0458B">
            <w:pPr>
              <w:spacing w:before="6" w:after="6"/>
              <w:jc w:val="center"/>
              <w:rPr>
                <w:sz w:val="18"/>
                <w:szCs w:val="18"/>
              </w:rPr>
            </w:pPr>
            <w:r w:rsidRPr="00AD593D">
              <w:rPr>
                <w:sz w:val="18"/>
                <w:szCs w:val="18"/>
              </w:rPr>
              <w:t>Arabe</w:t>
            </w:r>
          </w:p>
        </w:tc>
        <w:tc>
          <w:tcPr>
            <w:tcW w:w="1215" w:type="dxa"/>
          </w:tcPr>
          <w:p w:rsidR="006158FF" w:rsidRPr="00AD593D" w:rsidRDefault="006158FF" w:rsidP="00F0458B">
            <w:pPr>
              <w:jc w:val="center"/>
              <w:rPr>
                <w:sz w:val="18"/>
                <w:szCs w:val="18"/>
              </w:rPr>
            </w:pPr>
            <w:r w:rsidRPr="00AD593D">
              <w:rPr>
                <w:sz w:val="18"/>
                <w:szCs w:val="18"/>
              </w:rPr>
              <w:t>2</w:t>
            </w:r>
          </w:p>
        </w:tc>
        <w:tc>
          <w:tcPr>
            <w:tcW w:w="770" w:type="dxa"/>
          </w:tcPr>
          <w:p w:rsidR="006158FF" w:rsidRPr="00AD593D" w:rsidRDefault="006158FF" w:rsidP="00F0458B">
            <w:pPr>
              <w:jc w:val="center"/>
              <w:rPr>
                <w:sz w:val="18"/>
                <w:szCs w:val="18"/>
              </w:rPr>
            </w:pPr>
            <w:r w:rsidRPr="00AD593D">
              <w:rPr>
                <w:sz w:val="18"/>
                <w:szCs w:val="18"/>
              </w:rPr>
              <w:t>2</w:t>
            </w:r>
          </w:p>
        </w:tc>
        <w:tc>
          <w:tcPr>
            <w:tcW w:w="1134" w:type="dxa"/>
          </w:tcPr>
          <w:p w:rsidR="006158FF" w:rsidRPr="00AD593D" w:rsidRDefault="006158FF" w:rsidP="00F0458B">
            <w:pPr>
              <w:jc w:val="center"/>
              <w:rPr>
                <w:sz w:val="18"/>
                <w:szCs w:val="18"/>
              </w:rPr>
            </w:pPr>
            <w:r w:rsidRPr="00AD593D">
              <w:rPr>
                <w:sz w:val="18"/>
                <w:szCs w:val="18"/>
              </w:rPr>
              <w:t>7</w:t>
            </w:r>
          </w:p>
        </w:tc>
        <w:tc>
          <w:tcPr>
            <w:tcW w:w="850" w:type="dxa"/>
          </w:tcPr>
          <w:p w:rsidR="006158FF" w:rsidRPr="00AD593D" w:rsidRDefault="006158FF" w:rsidP="00F0458B">
            <w:pPr>
              <w:jc w:val="center"/>
              <w:rPr>
                <w:sz w:val="18"/>
                <w:szCs w:val="18"/>
              </w:rPr>
            </w:pPr>
            <w:r w:rsidRPr="00AD593D">
              <w:rPr>
                <w:sz w:val="18"/>
                <w:szCs w:val="18"/>
              </w:rPr>
              <w:t>6.14</w:t>
            </w:r>
          </w:p>
        </w:tc>
        <w:tc>
          <w:tcPr>
            <w:tcW w:w="1418" w:type="dxa"/>
          </w:tcPr>
          <w:p w:rsidR="006158FF" w:rsidRPr="00AD593D" w:rsidRDefault="006158FF" w:rsidP="00F0458B">
            <w:pPr>
              <w:jc w:val="center"/>
              <w:rPr>
                <w:sz w:val="18"/>
                <w:szCs w:val="18"/>
              </w:rPr>
            </w:pPr>
            <w:r w:rsidRPr="00AD593D">
              <w:rPr>
                <w:sz w:val="18"/>
                <w:szCs w:val="18"/>
              </w:rPr>
              <w:t>8</w:t>
            </w:r>
          </w:p>
        </w:tc>
        <w:tc>
          <w:tcPr>
            <w:tcW w:w="1276" w:type="dxa"/>
          </w:tcPr>
          <w:p w:rsidR="006158FF" w:rsidRPr="00AD593D" w:rsidRDefault="006158FF" w:rsidP="00F0458B">
            <w:pPr>
              <w:jc w:val="center"/>
              <w:rPr>
                <w:sz w:val="18"/>
                <w:szCs w:val="18"/>
              </w:rPr>
            </w:pPr>
            <w:r w:rsidRPr="00AD593D">
              <w:rPr>
                <w:sz w:val="18"/>
                <w:szCs w:val="18"/>
              </w:rPr>
              <w:t>9.09</w:t>
            </w:r>
          </w:p>
        </w:tc>
      </w:tr>
      <w:tr w:rsidR="006158FF" w:rsidRPr="006158FF" w:rsidTr="00F0458B">
        <w:tc>
          <w:tcPr>
            <w:tcW w:w="1771" w:type="dxa"/>
          </w:tcPr>
          <w:p w:rsidR="006158FF" w:rsidRPr="00AD593D" w:rsidRDefault="006158FF" w:rsidP="00F0458B">
            <w:pPr>
              <w:spacing w:before="6" w:after="6"/>
              <w:jc w:val="center"/>
              <w:rPr>
                <w:sz w:val="18"/>
                <w:szCs w:val="18"/>
              </w:rPr>
            </w:pPr>
            <w:r w:rsidRPr="00AD593D">
              <w:rPr>
                <w:sz w:val="18"/>
                <w:szCs w:val="18"/>
              </w:rPr>
              <w:t>Anglais</w:t>
            </w:r>
          </w:p>
        </w:tc>
        <w:tc>
          <w:tcPr>
            <w:tcW w:w="1215" w:type="dxa"/>
          </w:tcPr>
          <w:p w:rsidR="006158FF" w:rsidRPr="00AD593D" w:rsidRDefault="006158FF" w:rsidP="00F0458B">
            <w:pPr>
              <w:jc w:val="center"/>
              <w:rPr>
                <w:sz w:val="18"/>
                <w:szCs w:val="18"/>
              </w:rPr>
            </w:pPr>
            <w:r w:rsidRPr="00AD593D">
              <w:rPr>
                <w:sz w:val="18"/>
                <w:szCs w:val="18"/>
              </w:rPr>
              <w:t>25</w:t>
            </w:r>
          </w:p>
        </w:tc>
        <w:tc>
          <w:tcPr>
            <w:tcW w:w="770" w:type="dxa"/>
          </w:tcPr>
          <w:p w:rsidR="006158FF" w:rsidRPr="00AD593D" w:rsidRDefault="006158FF" w:rsidP="00F0458B">
            <w:pPr>
              <w:jc w:val="center"/>
              <w:rPr>
                <w:sz w:val="18"/>
                <w:szCs w:val="18"/>
              </w:rPr>
            </w:pPr>
            <w:r w:rsidRPr="00AD593D">
              <w:rPr>
                <w:sz w:val="18"/>
                <w:szCs w:val="18"/>
              </w:rPr>
              <w:t>25</w:t>
            </w:r>
          </w:p>
        </w:tc>
        <w:tc>
          <w:tcPr>
            <w:tcW w:w="1134" w:type="dxa"/>
          </w:tcPr>
          <w:p w:rsidR="006158FF" w:rsidRPr="00AD593D" w:rsidRDefault="006158FF" w:rsidP="00F0458B">
            <w:pPr>
              <w:jc w:val="center"/>
              <w:rPr>
                <w:sz w:val="18"/>
                <w:szCs w:val="18"/>
              </w:rPr>
            </w:pPr>
            <w:r w:rsidRPr="00AD593D">
              <w:rPr>
                <w:sz w:val="18"/>
                <w:szCs w:val="18"/>
              </w:rPr>
              <w:t>27</w:t>
            </w:r>
          </w:p>
        </w:tc>
        <w:tc>
          <w:tcPr>
            <w:tcW w:w="850" w:type="dxa"/>
          </w:tcPr>
          <w:p w:rsidR="006158FF" w:rsidRPr="00AD593D" w:rsidRDefault="006158FF" w:rsidP="00F0458B">
            <w:pPr>
              <w:jc w:val="center"/>
              <w:rPr>
                <w:sz w:val="18"/>
                <w:szCs w:val="18"/>
              </w:rPr>
            </w:pPr>
            <w:r w:rsidRPr="00AD593D">
              <w:rPr>
                <w:sz w:val="18"/>
                <w:szCs w:val="18"/>
              </w:rPr>
              <w:t>23.68</w:t>
            </w:r>
          </w:p>
        </w:tc>
        <w:tc>
          <w:tcPr>
            <w:tcW w:w="1418" w:type="dxa"/>
          </w:tcPr>
          <w:p w:rsidR="006158FF" w:rsidRPr="00AD593D" w:rsidRDefault="006158FF" w:rsidP="00F0458B">
            <w:pPr>
              <w:jc w:val="center"/>
              <w:rPr>
                <w:sz w:val="18"/>
                <w:szCs w:val="18"/>
              </w:rPr>
            </w:pPr>
            <w:r w:rsidRPr="00AD593D">
              <w:rPr>
                <w:sz w:val="18"/>
                <w:szCs w:val="18"/>
              </w:rPr>
              <w:t>27</w:t>
            </w:r>
          </w:p>
        </w:tc>
        <w:tc>
          <w:tcPr>
            <w:tcW w:w="1276" w:type="dxa"/>
          </w:tcPr>
          <w:p w:rsidR="006158FF" w:rsidRPr="00AD593D" w:rsidRDefault="006158FF" w:rsidP="00F0458B">
            <w:pPr>
              <w:jc w:val="center"/>
              <w:rPr>
                <w:sz w:val="18"/>
                <w:szCs w:val="18"/>
              </w:rPr>
            </w:pPr>
            <w:r w:rsidRPr="00AD593D">
              <w:rPr>
                <w:sz w:val="18"/>
                <w:szCs w:val="18"/>
              </w:rPr>
              <w:t>30.68</w:t>
            </w:r>
          </w:p>
        </w:tc>
      </w:tr>
      <w:tr w:rsidR="006158FF" w:rsidRPr="006158FF" w:rsidTr="00F0458B">
        <w:tc>
          <w:tcPr>
            <w:tcW w:w="1771" w:type="dxa"/>
          </w:tcPr>
          <w:p w:rsidR="006158FF" w:rsidRPr="00AD593D" w:rsidRDefault="006158FF" w:rsidP="00F0458B">
            <w:pPr>
              <w:spacing w:before="6" w:after="6"/>
              <w:jc w:val="center"/>
              <w:rPr>
                <w:sz w:val="18"/>
                <w:szCs w:val="18"/>
              </w:rPr>
            </w:pPr>
            <w:r w:rsidRPr="00AD593D">
              <w:rPr>
                <w:sz w:val="18"/>
                <w:szCs w:val="18"/>
              </w:rPr>
              <w:t>Français</w:t>
            </w:r>
          </w:p>
        </w:tc>
        <w:tc>
          <w:tcPr>
            <w:tcW w:w="1215" w:type="dxa"/>
          </w:tcPr>
          <w:p w:rsidR="006158FF" w:rsidRPr="00AD593D" w:rsidRDefault="006158FF" w:rsidP="00F0458B">
            <w:pPr>
              <w:jc w:val="center"/>
              <w:rPr>
                <w:sz w:val="18"/>
                <w:szCs w:val="18"/>
              </w:rPr>
            </w:pPr>
            <w:r w:rsidRPr="00AD593D">
              <w:rPr>
                <w:sz w:val="18"/>
                <w:szCs w:val="18"/>
              </w:rPr>
              <w:t>32</w:t>
            </w:r>
          </w:p>
        </w:tc>
        <w:tc>
          <w:tcPr>
            <w:tcW w:w="770" w:type="dxa"/>
          </w:tcPr>
          <w:p w:rsidR="006158FF" w:rsidRPr="00AD593D" w:rsidRDefault="006158FF" w:rsidP="00F0458B">
            <w:pPr>
              <w:jc w:val="center"/>
              <w:rPr>
                <w:sz w:val="18"/>
                <w:szCs w:val="18"/>
              </w:rPr>
            </w:pPr>
            <w:r w:rsidRPr="00AD593D">
              <w:rPr>
                <w:sz w:val="18"/>
                <w:szCs w:val="18"/>
              </w:rPr>
              <w:t>32</w:t>
            </w:r>
          </w:p>
        </w:tc>
        <w:tc>
          <w:tcPr>
            <w:tcW w:w="1134" w:type="dxa"/>
          </w:tcPr>
          <w:p w:rsidR="006158FF" w:rsidRPr="00AD593D" w:rsidRDefault="006158FF" w:rsidP="00F0458B">
            <w:pPr>
              <w:jc w:val="center"/>
              <w:rPr>
                <w:sz w:val="18"/>
                <w:szCs w:val="18"/>
              </w:rPr>
            </w:pPr>
            <w:r w:rsidRPr="00AD593D">
              <w:rPr>
                <w:sz w:val="18"/>
                <w:szCs w:val="18"/>
              </w:rPr>
              <w:t>9</w:t>
            </w:r>
          </w:p>
        </w:tc>
        <w:tc>
          <w:tcPr>
            <w:tcW w:w="850" w:type="dxa"/>
          </w:tcPr>
          <w:p w:rsidR="006158FF" w:rsidRPr="00AD593D" w:rsidRDefault="006158FF" w:rsidP="00F0458B">
            <w:pPr>
              <w:jc w:val="center"/>
              <w:rPr>
                <w:sz w:val="18"/>
                <w:szCs w:val="18"/>
              </w:rPr>
            </w:pPr>
            <w:r w:rsidRPr="00AD593D">
              <w:rPr>
                <w:sz w:val="18"/>
                <w:szCs w:val="18"/>
              </w:rPr>
              <w:t>7.89</w:t>
            </w:r>
          </w:p>
        </w:tc>
        <w:tc>
          <w:tcPr>
            <w:tcW w:w="1418" w:type="dxa"/>
          </w:tcPr>
          <w:p w:rsidR="006158FF" w:rsidRPr="00AD593D" w:rsidRDefault="006158FF" w:rsidP="00F0458B">
            <w:pPr>
              <w:jc w:val="center"/>
              <w:rPr>
                <w:sz w:val="18"/>
                <w:szCs w:val="18"/>
              </w:rPr>
            </w:pPr>
            <w:r w:rsidRPr="00AD593D">
              <w:rPr>
                <w:sz w:val="18"/>
                <w:szCs w:val="18"/>
              </w:rPr>
              <w:t>24</w:t>
            </w:r>
          </w:p>
        </w:tc>
        <w:tc>
          <w:tcPr>
            <w:tcW w:w="1276" w:type="dxa"/>
          </w:tcPr>
          <w:p w:rsidR="006158FF" w:rsidRPr="00AD593D" w:rsidRDefault="006158FF" w:rsidP="00F0458B">
            <w:pPr>
              <w:jc w:val="center"/>
              <w:rPr>
                <w:sz w:val="18"/>
                <w:szCs w:val="18"/>
              </w:rPr>
            </w:pPr>
            <w:r w:rsidRPr="00AD593D">
              <w:rPr>
                <w:sz w:val="18"/>
                <w:szCs w:val="18"/>
              </w:rPr>
              <w:t>27</w:t>
            </w:r>
          </w:p>
        </w:tc>
      </w:tr>
      <w:tr w:rsidR="006158FF" w:rsidRPr="006158FF" w:rsidTr="00F0458B">
        <w:tc>
          <w:tcPr>
            <w:tcW w:w="1771" w:type="dxa"/>
          </w:tcPr>
          <w:p w:rsidR="006158FF" w:rsidRPr="00AD593D" w:rsidRDefault="006158FF" w:rsidP="00F0458B">
            <w:pPr>
              <w:spacing w:before="6" w:after="6"/>
              <w:jc w:val="center"/>
              <w:rPr>
                <w:sz w:val="18"/>
                <w:szCs w:val="18"/>
              </w:rPr>
            </w:pPr>
            <w:r w:rsidRPr="00AD593D">
              <w:rPr>
                <w:sz w:val="18"/>
                <w:szCs w:val="18"/>
              </w:rPr>
              <w:t>Arabe/anglais</w:t>
            </w:r>
          </w:p>
        </w:tc>
        <w:tc>
          <w:tcPr>
            <w:tcW w:w="1215" w:type="dxa"/>
          </w:tcPr>
          <w:p w:rsidR="006158FF" w:rsidRPr="00AD593D" w:rsidRDefault="006158FF" w:rsidP="00F0458B">
            <w:pPr>
              <w:jc w:val="center"/>
              <w:rPr>
                <w:sz w:val="18"/>
                <w:szCs w:val="18"/>
              </w:rPr>
            </w:pPr>
            <w:r w:rsidRPr="00AD593D">
              <w:rPr>
                <w:sz w:val="18"/>
                <w:szCs w:val="18"/>
              </w:rPr>
              <w:t>11</w:t>
            </w:r>
          </w:p>
        </w:tc>
        <w:tc>
          <w:tcPr>
            <w:tcW w:w="770" w:type="dxa"/>
          </w:tcPr>
          <w:p w:rsidR="006158FF" w:rsidRPr="00AD593D" w:rsidRDefault="006158FF" w:rsidP="00F0458B">
            <w:pPr>
              <w:jc w:val="center"/>
              <w:rPr>
                <w:sz w:val="18"/>
                <w:szCs w:val="18"/>
              </w:rPr>
            </w:pPr>
            <w:r w:rsidRPr="00AD593D">
              <w:rPr>
                <w:sz w:val="18"/>
                <w:szCs w:val="18"/>
              </w:rPr>
              <w:t>11</w:t>
            </w:r>
          </w:p>
        </w:tc>
        <w:tc>
          <w:tcPr>
            <w:tcW w:w="1134" w:type="dxa"/>
          </w:tcPr>
          <w:p w:rsidR="006158FF" w:rsidRPr="00AD593D" w:rsidRDefault="006158FF" w:rsidP="00F0458B">
            <w:pPr>
              <w:jc w:val="center"/>
              <w:rPr>
                <w:sz w:val="18"/>
                <w:szCs w:val="18"/>
              </w:rPr>
            </w:pPr>
            <w:r w:rsidRPr="00AD593D">
              <w:rPr>
                <w:sz w:val="18"/>
                <w:szCs w:val="18"/>
              </w:rPr>
              <w:t>41</w:t>
            </w:r>
          </w:p>
        </w:tc>
        <w:tc>
          <w:tcPr>
            <w:tcW w:w="850" w:type="dxa"/>
          </w:tcPr>
          <w:p w:rsidR="006158FF" w:rsidRPr="00AD593D" w:rsidRDefault="006158FF" w:rsidP="00F0458B">
            <w:pPr>
              <w:jc w:val="center"/>
              <w:rPr>
                <w:sz w:val="18"/>
                <w:szCs w:val="18"/>
              </w:rPr>
            </w:pPr>
            <w:r w:rsidRPr="00AD593D">
              <w:rPr>
                <w:sz w:val="18"/>
                <w:szCs w:val="18"/>
              </w:rPr>
              <w:t>35.96</w:t>
            </w:r>
          </w:p>
        </w:tc>
        <w:tc>
          <w:tcPr>
            <w:tcW w:w="1418" w:type="dxa"/>
          </w:tcPr>
          <w:p w:rsidR="006158FF" w:rsidRPr="00AD593D" w:rsidRDefault="006158FF" w:rsidP="00F0458B">
            <w:pPr>
              <w:jc w:val="center"/>
              <w:rPr>
                <w:sz w:val="18"/>
                <w:szCs w:val="18"/>
              </w:rPr>
            </w:pPr>
            <w:r w:rsidRPr="00AD593D">
              <w:rPr>
                <w:sz w:val="18"/>
                <w:szCs w:val="18"/>
              </w:rPr>
              <w:t>12</w:t>
            </w:r>
          </w:p>
        </w:tc>
        <w:tc>
          <w:tcPr>
            <w:tcW w:w="1276" w:type="dxa"/>
          </w:tcPr>
          <w:p w:rsidR="006158FF" w:rsidRPr="00AD593D" w:rsidRDefault="006158FF" w:rsidP="00F0458B">
            <w:pPr>
              <w:jc w:val="center"/>
              <w:rPr>
                <w:sz w:val="18"/>
                <w:szCs w:val="18"/>
              </w:rPr>
            </w:pPr>
            <w:r w:rsidRPr="00AD593D">
              <w:rPr>
                <w:sz w:val="18"/>
                <w:szCs w:val="18"/>
              </w:rPr>
              <w:t>13.63</w:t>
            </w:r>
          </w:p>
        </w:tc>
      </w:tr>
      <w:tr w:rsidR="006158FF" w:rsidRPr="006158FF" w:rsidTr="00F0458B">
        <w:tc>
          <w:tcPr>
            <w:tcW w:w="1771" w:type="dxa"/>
          </w:tcPr>
          <w:p w:rsidR="006158FF" w:rsidRPr="00AD593D" w:rsidRDefault="006158FF" w:rsidP="00F0458B">
            <w:pPr>
              <w:spacing w:before="6" w:after="6"/>
              <w:jc w:val="center"/>
              <w:rPr>
                <w:sz w:val="18"/>
                <w:szCs w:val="18"/>
              </w:rPr>
            </w:pPr>
            <w:r w:rsidRPr="00AD593D">
              <w:rPr>
                <w:sz w:val="18"/>
                <w:szCs w:val="18"/>
              </w:rPr>
              <w:t>Arabe/ français</w:t>
            </w:r>
          </w:p>
        </w:tc>
        <w:tc>
          <w:tcPr>
            <w:tcW w:w="1215" w:type="dxa"/>
          </w:tcPr>
          <w:p w:rsidR="006158FF" w:rsidRPr="00AD593D" w:rsidRDefault="006158FF" w:rsidP="00F0458B">
            <w:pPr>
              <w:jc w:val="center"/>
              <w:rPr>
                <w:sz w:val="18"/>
                <w:szCs w:val="18"/>
              </w:rPr>
            </w:pPr>
            <w:r w:rsidRPr="00AD593D">
              <w:rPr>
                <w:sz w:val="18"/>
                <w:szCs w:val="18"/>
              </w:rPr>
              <w:t>16</w:t>
            </w:r>
          </w:p>
        </w:tc>
        <w:tc>
          <w:tcPr>
            <w:tcW w:w="770" w:type="dxa"/>
          </w:tcPr>
          <w:p w:rsidR="006158FF" w:rsidRPr="00AD593D" w:rsidRDefault="006158FF" w:rsidP="00F0458B">
            <w:pPr>
              <w:jc w:val="center"/>
              <w:rPr>
                <w:sz w:val="18"/>
                <w:szCs w:val="18"/>
              </w:rPr>
            </w:pPr>
            <w:r w:rsidRPr="00AD593D">
              <w:rPr>
                <w:sz w:val="18"/>
                <w:szCs w:val="18"/>
              </w:rPr>
              <w:t>16</w:t>
            </w:r>
          </w:p>
        </w:tc>
        <w:tc>
          <w:tcPr>
            <w:tcW w:w="1134" w:type="dxa"/>
          </w:tcPr>
          <w:p w:rsidR="006158FF" w:rsidRPr="00AD593D" w:rsidRDefault="006158FF" w:rsidP="00F0458B">
            <w:pPr>
              <w:jc w:val="center"/>
              <w:rPr>
                <w:sz w:val="18"/>
                <w:szCs w:val="18"/>
              </w:rPr>
            </w:pPr>
            <w:r w:rsidRPr="00AD593D">
              <w:rPr>
                <w:sz w:val="18"/>
                <w:szCs w:val="18"/>
              </w:rPr>
              <w:t>14</w:t>
            </w:r>
          </w:p>
        </w:tc>
        <w:tc>
          <w:tcPr>
            <w:tcW w:w="850" w:type="dxa"/>
          </w:tcPr>
          <w:p w:rsidR="006158FF" w:rsidRPr="00AD593D" w:rsidRDefault="006158FF" w:rsidP="00F0458B">
            <w:pPr>
              <w:jc w:val="center"/>
              <w:rPr>
                <w:sz w:val="18"/>
                <w:szCs w:val="18"/>
              </w:rPr>
            </w:pPr>
            <w:r w:rsidRPr="00AD593D">
              <w:rPr>
                <w:sz w:val="18"/>
                <w:szCs w:val="18"/>
              </w:rPr>
              <w:t>12.28</w:t>
            </w:r>
          </w:p>
        </w:tc>
        <w:tc>
          <w:tcPr>
            <w:tcW w:w="1418" w:type="dxa"/>
          </w:tcPr>
          <w:p w:rsidR="006158FF" w:rsidRPr="00AD593D" w:rsidRDefault="006158FF" w:rsidP="00F0458B">
            <w:pPr>
              <w:jc w:val="center"/>
              <w:rPr>
                <w:sz w:val="18"/>
                <w:szCs w:val="18"/>
              </w:rPr>
            </w:pPr>
            <w:r w:rsidRPr="00AD593D">
              <w:rPr>
                <w:sz w:val="18"/>
                <w:szCs w:val="18"/>
              </w:rPr>
              <w:t>7</w:t>
            </w:r>
          </w:p>
        </w:tc>
        <w:tc>
          <w:tcPr>
            <w:tcW w:w="1276" w:type="dxa"/>
          </w:tcPr>
          <w:p w:rsidR="006158FF" w:rsidRPr="00AD593D" w:rsidRDefault="006158FF" w:rsidP="00F0458B">
            <w:pPr>
              <w:jc w:val="center"/>
              <w:rPr>
                <w:sz w:val="18"/>
                <w:szCs w:val="18"/>
              </w:rPr>
            </w:pPr>
            <w:r w:rsidRPr="00AD593D">
              <w:rPr>
                <w:sz w:val="18"/>
                <w:szCs w:val="18"/>
              </w:rPr>
              <w:t>7.95</w:t>
            </w:r>
          </w:p>
        </w:tc>
      </w:tr>
      <w:tr w:rsidR="006158FF" w:rsidRPr="006158FF" w:rsidTr="00F0458B">
        <w:tc>
          <w:tcPr>
            <w:tcW w:w="1771" w:type="dxa"/>
          </w:tcPr>
          <w:p w:rsidR="006158FF" w:rsidRPr="00AD593D" w:rsidRDefault="006158FF" w:rsidP="00F0458B">
            <w:pPr>
              <w:spacing w:before="6" w:after="6"/>
              <w:rPr>
                <w:sz w:val="18"/>
                <w:szCs w:val="18"/>
              </w:rPr>
            </w:pPr>
            <w:r w:rsidRPr="00AD593D">
              <w:rPr>
                <w:sz w:val="18"/>
                <w:szCs w:val="18"/>
              </w:rPr>
              <w:t>Français/ anglais</w:t>
            </w:r>
          </w:p>
        </w:tc>
        <w:tc>
          <w:tcPr>
            <w:tcW w:w="1215" w:type="dxa"/>
          </w:tcPr>
          <w:p w:rsidR="006158FF" w:rsidRPr="00AD593D" w:rsidRDefault="006158FF" w:rsidP="00F0458B">
            <w:pPr>
              <w:jc w:val="center"/>
              <w:rPr>
                <w:sz w:val="18"/>
                <w:szCs w:val="18"/>
              </w:rPr>
            </w:pPr>
            <w:r w:rsidRPr="00AD593D">
              <w:rPr>
                <w:sz w:val="18"/>
                <w:szCs w:val="18"/>
              </w:rPr>
              <w:t>8</w:t>
            </w:r>
          </w:p>
        </w:tc>
        <w:tc>
          <w:tcPr>
            <w:tcW w:w="770" w:type="dxa"/>
          </w:tcPr>
          <w:p w:rsidR="006158FF" w:rsidRPr="00AD593D" w:rsidRDefault="006158FF" w:rsidP="00F0458B">
            <w:pPr>
              <w:jc w:val="center"/>
              <w:rPr>
                <w:sz w:val="18"/>
                <w:szCs w:val="18"/>
              </w:rPr>
            </w:pPr>
            <w:r w:rsidRPr="00AD593D">
              <w:rPr>
                <w:sz w:val="18"/>
                <w:szCs w:val="18"/>
              </w:rPr>
              <w:t>8</w:t>
            </w:r>
          </w:p>
        </w:tc>
        <w:tc>
          <w:tcPr>
            <w:tcW w:w="1134" w:type="dxa"/>
          </w:tcPr>
          <w:p w:rsidR="006158FF" w:rsidRPr="00AD593D" w:rsidRDefault="006158FF" w:rsidP="00F0458B">
            <w:pPr>
              <w:jc w:val="center"/>
              <w:rPr>
                <w:sz w:val="18"/>
                <w:szCs w:val="18"/>
              </w:rPr>
            </w:pPr>
            <w:r w:rsidRPr="00AD593D">
              <w:rPr>
                <w:sz w:val="18"/>
                <w:szCs w:val="18"/>
              </w:rPr>
              <w:t>8</w:t>
            </w:r>
          </w:p>
        </w:tc>
        <w:tc>
          <w:tcPr>
            <w:tcW w:w="850" w:type="dxa"/>
          </w:tcPr>
          <w:p w:rsidR="006158FF" w:rsidRPr="00AD593D" w:rsidRDefault="006158FF" w:rsidP="00F0458B">
            <w:pPr>
              <w:jc w:val="center"/>
              <w:rPr>
                <w:sz w:val="18"/>
                <w:szCs w:val="18"/>
              </w:rPr>
            </w:pPr>
            <w:r w:rsidRPr="00AD593D">
              <w:rPr>
                <w:sz w:val="18"/>
                <w:szCs w:val="18"/>
              </w:rPr>
              <w:t>7.01</w:t>
            </w:r>
          </w:p>
        </w:tc>
        <w:tc>
          <w:tcPr>
            <w:tcW w:w="1418" w:type="dxa"/>
          </w:tcPr>
          <w:p w:rsidR="006158FF" w:rsidRPr="00AD593D" w:rsidRDefault="006158FF" w:rsidP="00F0458B">
            <w:pPr>
              <w:jc w:val="center"/>
              <w:rPr>
                <w:sz w:val="18"/>
                <w:szCs w:val="18"/>
              </w:rPr>
            </w:pPr>
            <w:r w:rsidRPr="00AD593D">
              <w:rPr>
                <w:sz w:val="18"/>
                <w:szCs w:val="18"/>
              </w:rPr>
              <w:t>1</w:t>
            </w:r>
          </w:p>
        </w:tc>
        <w:tc>
          <w:tcPr>
            <w:tcW w:w="1276" w:type="dxa"/>
          </w:tcPr>
          <w:p w:rsidR="006158FF" w:rsidRPr="00AD593D" w:rsidRDefault="006158FF" w:rsidP="00F0458B">
            <w:pPr>
              <w:jc w:val="center"/>
              <w:rPr>
                <w:sz w:val="18"/>
                <w:szCs w:val="18"/>
              </w:rPr>
            </w:pPr>
            <w:r w:rsidRPr="00AD593D">
              <w:rPr>
                <w:sz w:val="18"/>
                <w:szCs w:val="18"/>
              </w:rPr>
              <w:t>1.13</w:t>
            </w:r>
          </w:p>
        </w:tc>
      </w:tr>
      <w:tr w:rsidR="006158FF" w:rsidRPr="006158FF" w:rsidTr="00F0458B">
        <w:tc>
          <w:tcPr>
            <w:tcW w:w="1771" w:type="dxa"/>
          </w:tcPr>
          <w:p w:rsidR="006158FF" w:rsidRPr="00AD593D" w:rsidRDefault="006158FF" w:rsidP="00F0458B">
            <w:pPr>
              <w:spacing w:before="6" w:after="6"/>
              <w:jc w:val="center"/>
              <w:rPr>
                <w:sz w:val="18"/>
                <w:szCs w:val="18"/>
              </w:rPr>
            </w:pPr>
            <w:r w:rsidRPr="00AD593D">
              <w:rPr>
                <w:sz w:val="18"/>
                <w:szCs w:val="18"/>
              </w:rPr>
              <w:t>Italien</w:t>
            </w:r>
          </w:p>
        </w:tc>
        <w:tc>
          <w:tcPr>
            <w:tcW w:w="1215" w:type="dxa"/>
          </w:tcPr>
          <w:p w:rsidR="006158FF" w:rsidRPr="00AD593D" w:rsidRDefault="006158FF" w:rsidP="00F0458B">
            <w:pPr>
              <w:jc w:val="center"/>
              <w:rPr>
                <w:sz w:val="18"/>
                <w:szCs w:val="18"/>
              </w:rPr>
            </w:pPr>
            <w:r w:rsidRPr="00AD593D">
              <w:rPr>
                <w:sz w:val="18"/>
                <w:szCs w:val="18"/>
              </w:rPr>
              <w:t>6</w:t>
            </w:r>
          </w:p>
        </w:tc>
        <w:tc>
          <w:tcPr>
            <w:tcW w:w="770" w:type="dxa"/>
          </w:tcPr>
          <w:p w:rsidR="006158FF" w:rsidRPr="00AD593D" w:rsidRDefault="006158FF" w:rsidP="00F0458B">
            <w:pPr>
              <w:jc w:val="center"/>
              <w:rPr>
                <w:sz w:val="18"/>
                <w:szCs w:val="18"/>
              </w:rPr>
            </w:pPr>
            <w:r w:rsidRPr="00AD593D">
              <w:rPr>
                <w:sz w:val="18"/>
                <w:szCs w:val="18"/>
              </w:rPr>
              <w:t>6</w:t>
            </w:r>
          </w:p>
        </w:tc>
        <w:tc>
          <w:tcPr>
            <w:tcW w:w="1134" w:type="dxa"/>
          </w:tcPr>
          <w:p w:rsidR="006158FF" w:rsidRPr="00AD593D" w:rsidRDefault="006158FF" w:rsidP="00F0458B">
            <w:pPr>
              <w:jc w:val="center"/>
              <w:rPr>
                <w:sz w:val="18"/>
                <w:szCs w:val="18"/>
              </w:rPr>
            </w:pPr>
            <w:r w:rsidRPr="00AD593D">
              <w:rPr>
                <w:sz w:val="18"/>
                <w:szCs w:val="18"/>
              </w:rPr>
              <w:t>8</w:t>
            </w:r>
          </w:p>
        </w:tc>
        <w:tc>
          <w:tcPr>
            <w:tcW w:w="850" w:type="dxa"/>
          </w:tcPr>
          <w:p w:rsidR="006158FF" w:rsidRPr="00AD593D" w:rsidRDefault="006158FF" w:rsidP="00F0458B">
            <w:pPr>
              <w:jc w:val="center"/>
              <w:rPr>
                <w:sz w:val="18"/>
                <w:szCs w:val="18"/>
              </w:rPr>
            </w:pPr>
            <w:r w:rsidRPr="00AD593D">
              <w:rPr>
                <w:sz w:val="18"/>
                <w:szCs w:val="18"/>
              </w:rPr>
              <w:t>7.01</w:t>
            </w:r>
          </w:p>
        </w:tc>
        <w:tc>
          <w:tcPr>
            <w:tcW w:w="1418" w:type="dxa"/>
          </w:tcPr>
          <w:p w:rsidR="006158FF" w:rsidRPr="00AD593D" w:rsidRDefault="006158FF" w:rsidP="00F0458B">
            <w:pPr>
              <w:jc w:val="center"/>
              <w:rPr>
                <w:sz w:val="18"/>
                <w:szCs w:val="18"/>
              </w:rPr>
            </w:pPr>
            <w:r w:rsidRPr="00AD593D">
              <w:rPr>
                <w:sz w:val="18"/>
                <w:szCs w:val="18"/>
              </w:rPr>
              <w:t>9</w:t>
            </w:r>
          </w:p>
        </w:tc>
        <w:tc>
          <w:tcPr>
            <w:tcW w:w="1276" w:type="dxa"/>
          </w:tcPr>
          <w:p w:rsidR="006158FF" w:rsidRPr="00AD593D" w:rsidRDefault="006158FF" w:rsidP="00F0458B">
            <w:pPr>
              <w:jc w:val="center"/>
              <w:rPr>
                <w:sz w:val="18"/>
                <w:szCs w:val="18"/>
              </w:rPr>
            </w:pPr>
            <w:r w:rsidRPr="00AD593D">
              <w:rPr>
                <w:sz w:val="18"/>
                <w:szCs w:val="18"/>
              </w:rPr>
              <w:t>10.22</w:t>
            </w:r>
          </w:p>
        </w:tc>
      </w:tr>
      <w:tr w:rsidR="006158FF" w:rsidRPr="006158FF" w:rsidTr="00F0458B">
        <w:tc>
          <w:tcPr>
            <w:tcW w:w="1771" w:type="dxa"/>
          </w:tcPr>
          <w:p w:rsidR="006158FF" w:rsidRPr="00AD593D" w:rsidRDefault="006158FF" w:rsidP="00F0458B">
            <w:pPr>
              <w:spacing w:before="6" w:after="6"/>
              <w:jc w:val="center"/>
              <w:rPr>
                <w:sz w:val="18"/>
                <w:szCs w:val="18"/>
              </w:rPr>
            </w:pPr>
            <w:r w:rsidRPr="00AD593D">
              <w:rPr>
                <w:sz w:val="18"/>
                <w:szCs w:val="18"/>
              </w:rPr>
              <w:t>Total</w:t>
            </w:r>
          </w:p>
        </w:tc>
        <w:tc>
          <w:tcPr>
            <w:tcW w:w="1215" w:type="dxa"/>
          </w:tcPr>
          <w:p w:rsidR="006158FF" w:rsidRPr="00AD593D" w:rsidRDefault="006158FF" w:rsidP="00F0458B">
            <w:pPr>
              <w:jc w:val="center"/>
              <w:rPr>
                <w:sz w:val="18"/>
                <w:szCs w:val="18"/>
              </w:rPr>
            </w:pPr>
            <w:r w:rsidRPr="00AD593D">
              <w:rPr>
                <w:sz w:val="18"/>
                <w:szCs w:val="18"/>
              </w:rPr>
              <w:t>100</w:t>
            </w:r>
          </w:p>
        </w:tc>
        <w:tc>
          <w:tcPr>
            <w:tcW w:w="770" w:type="dxa"/>
          </w:tcPr>
          <w:p w:rsidR="006158FF" w:rsidRPr="00AD593D" w:rsidRDefault="006158FF" w:rsidP="00F0458B">
            <w:pPr>
              <w:jc w:val="center"/>
              <w:rPr>
                <w:sz w:val="18"/>
                <w:szCs w:val="18"/>
              </w:rPr>
            </w:pPr>
            <w:r w:rsidRPr="00AD593D">
              <w:rPr>
                <w:sz w:val="18"/>
                <w:szCs w:val="18"/>
              </w:rPr>
              <w:t>100</w:t>
            </w:r>
          </w:p>
        </w:tc>
        <w:tc>
          <w:tcPr>
            <w:tcW w:w="1134" w:type="dxa"/>
          </w:tcPr>
          <w:p w:rsidR="006158FF" w:rsidRPr="00AD593D" w:rsidRDefault="006158FF" w:rsidP="00F0458B">
            <w:pPr>
              <w:jc w:val="center"/>
              <w:rPr>
                <w:sz w:val="18"/>
                <w:szCs w:val="18"/>
              </w:rPr>
            </w:pPr>
            <w:r w:rsidRPr="00AD593D">
              <w:rPr>
                <w:sz w:val="18"/>
                <w:szCs w:val="18"/>
              </w:rPr>
              <w:t>114</w:t>
            </w:r>
          </w:p>
        </w:tc>
        <w:tc>
          <w:tcPr>
            <w:tcW w:w="850" w:type="dxa"/>
          </w:tcPr>
          <w:p w:rsidR="006158FF" w:rsidRPr="00AD593D" w:rsidRDefault="006158FF" w:rsidP="00F0458B">
            <w:pPr>
              <w:jc w:val="center"/>
              <w:rPr>
                <w:sz w:val="18"/>
                <w:szCs w:val="18"/>
              </w:rPr>
            </w:pPr>
            <w:r w:rsidRPr="00AD593D">
              <w:rPr>
                <w:sz w:val="18"/>
                <w:szCs w:val="18"/>
              </w:rPr>
              <w:t>100</w:t>
            </w:r>
          </w:p>
        </w:tc>
        <w:tc>
          <w:tcPr>
            <w:tcW w:w="1418" w:type="dxa"/>
          </w:tcPr>
          <w:p w:rsidR="006158FF" w:rsidRPr="00AD593D" w:rsidRDefault="006158FF" w:rsidP="00F0458B">
            <w:pPr>
              <w:jc w:val="center"/>
              <w:rPr>
                <w:sz w:val="18"/>
                <w:szCs w:val="18"/>
              </w:rPr>
            </w:pPr>
            <w:r w:rsidRPr="00AD593D">
              <w:rPr>
                <w:sz w:val="18"/>
                <w:szCs w:val="18"/>
              </w:rPr>
              <w:t>88</w:t>
            </w:r>
          </w:p>
        </w:tc>
        <w:tc>
          <w:tcPr>
            <w:tcW w:w="1276" w:type="dxa"/>
          </w:tcPr>
          <w:p w:rsidR="006158FF" w:rsidRPr="00AD593D" w:rsidRDefault="006158FF" w:rsidP="00F0458B">
            <w:pPr>
              <w:jc w:val="center"/>
              <w:rPr>
                <w:sz w:val="18"/>
                <w:szCs w:val="18"/>
              </w:rPr>
            </w:pPr>
            <w:r w:rsidRPr="00AD593D">
              <w:rPr>
                <w:sz w:val="18"/>
                <w:szCs w:val="18"/>
              </w:rPr>
              <w:t>100</w:t>
            </w:r>
          </w:p>
        </w:tc>
      </w:tr>
    </w:tbl>
    <w:p w:rsidR="006158FF" w:rsidRDefault="006158FF" w:rsidP="006158FF">
      <w:pPr>
        <w:jc w:val="both"/>
      </w:pPr>
    </w:p>
    <w:p w:rsidR="006158FF" w:rsidRDefault="006158FF" w:rsidP="006158FF">
      <w:pPr>
        <w:jc w:val="both"/>
      </w:pPr>
      <w:r>
        <w:t xml:space="preserve">      Les enseignes écrites en français concernent principalement les produits de beauté, la haute couture, la bijouterie, quoique la présence de l’anglais commence à gagner du terrain dans ce secteur, notamment dans l’habillement sportif. Cela étant, les enseignes écrites en anglais désignent davantage les produits électroniques, les cyber-cafés, la téléphonie portable et les bureaux de change. Les enseignes rédigées en arabe sont davantage réservées à la restauration rapide et à la pâtisserie orientale. Notons que 10% des boutiques d’habillement empruntent des noms italiens, quel que soit le lieu, dans la mesure où la mode italienne et les articles importés de ce pays séduisent un nombre important de clients. </w:t>
      </w:r>
    </w:p>
    <w:p w:rsidR="006158FF" w:rsidRDefault="006158FF" w:rsidP="006158FF">
      <w:pPr>
        <w:ind w:firstLine="567"/>
        <w:jc w:val="both"/>
      </w:pPr>
    </w:p>
    <w:p w:rsidR="006158FF" w:rsidRDefault="006158FF" w:rsidP="006158FF">
      <w:pPr>
        <w:keepNext/>
        <w:tabs>
          <w:tab w:val="left" w:pos="575"/>
        </w:tabs>
        <w:ind w:left="575" w:hanging="575"/>
        <w:jc w:val="center"/>
        <w:rPr>
          <w:b/>
          <w:bCs/>
        </w:rPr>
      </w:pPr>
    </w:p>
    <w:p w:rsidR="006158FF" w:rsidRDefault="006158FF" w:rsidP="006158FF">
      <w:pPr>
        <w:keepNext/>
        <w:tabs>
          <w:tab w:val="left" w:pos="575"/>
        </w:tabs>
        <w:ind w:left="575" w:hanging="575"/>
        <w:jc w:val="center"/>
        <w:rPr>
          <w:b/>
          <w:bCs/>
        </w:rPr>
      </w:pPr>
      <w:r>
        <w:rPr>
          <w:b/>
          <w:bCs/>
        </w:rPr>
        <w:t>B- Pratiques linguistiques</w:t>
      </w:r>
    </w:p>
    <w:p w:rsidR="006158FF" w:rsidRDefault="006158FF" w:rsidP="006158FF">
      <w:pPr>
        <w:keepNext/>
        <w:tabs>
          <w:tab w:val="left" w:pos="575"/>
        </w:tabs>
        <w:ind w:left="575" w:hanging="575"/>
        <w:jc w:val="both"/>
        <w:rPr>
          <w:b/>
          <w:bCs/>
        </w:rPr>
      </w:pPr>
      <w:r>
        <w:rPr>
          <w:b/>
          <w:bCs/>
        </w:rPr>
        <w:t>1. Objectifs</w:t>
      </w:r>
    </w:p>
    <w:p w:rsidR="006158FF" w:rsidRDefault="006158FF" w:rsidP="006158FF">
      <w:pPr>
        <w:keepNext/>
        <w:tabs>
          <w:tab w:val="left" w:pos="575"/>
        </w:tabs>
        <w:ind w:left="575" w:hanging="575"/>
        <w:jc w:val="both"/>
      </w:pPr>
      <w:r>
        <w:t xml:space="preserve">    </w:t>
      </w:r>
    </w:p>
    <w:p w:rsidR="006158FF" w:rsidRDefault="006158FF" w:rsidP="006158FF">
      <w:pPr>
        <w:keepNext/>
        <w:tabs>
          <w:tab w:val="left" w:pos="575"/>
        </w:tabs>
        <w:ind w:hanging="573"/>
        <w:jc w:val="both"/>
      </w:pPr>
      <w:r>
        <w:t xml:space="preserve">         Après avoir brièvement décrit l’environnement francophone du Liban, nous nous proposons de sonder des jeunes libanais sur le choix qu’ils font de la (les) langue(s) pour communiquer, s’informer, se cultiver et se divertir. Il s’agit de recueillir et analyser les représentations</w:t>
      </w:r>
      <w:r>
        <w:rPr>
          <w:sz w:val="18"/>
          <w:szCs w:val="18"/>
          <w:vertAlign w:val="superscript"/>
        </w:rPr>
        <w:footnoteReference w:id="11"/>
      </w:r>
      <w:r>
        <w:t xml:space="preserve">que les étudiants ont de leurs propres pratiques linguistiques. </w:t>
      </w:r>
    </w:p>
    <w:p w:rsidR="006158FF" w:rsidRDefault="006158FF" w:rsidP="006158FF">
      <w:pPr>
        <w:keepNext/>
        <w:tabs>
          <w:tab w:val="left" w:pos="575"/>
        </w:tabs>
        <w:ind w:hanging="573"/>
        <w:jc w:val="both"/>
      </w:pPr>
      <w:r>
        <w:t xml:space="preserve">      De plus, notre étude tente de mesurer le degré d’usage et d’exposition des étudiants au français mais aussi à l’anglais et à l’arabe et de voir jusqu’à quel point il existe une continuité ou au contraire une rupture entre l’offre et la consommation des moyens de communication de masse francophones. Une telle recherche nous permettra aussi d’étudier l’impact du statut de la langue d’enseignement sur les pratiques linguistiques de nos informateurs selon qu’ils sont formés dans des universités </w:t>
      </w:r>
      <w:r>
        <w:rPr>
          <w:i/>
          <w:iCs/>
        </w:rPr>
        <w:t>totalement</w:t>
      </w:r>
      <w:r>
        <w:t xml:space="preserve"> ou  </w:t>
      </w:r>
      <w:r>
        <w:rPr>
          <w:i/>
          <w:iCs/>
        </w:rPr>
        <w:t>partiellement</w:t>
      </w:r>
      <w:r>
        <w:t xml:space="preserve"> francophones. </w:t>
      </w:r>
    </w:p>
    <w:p w:rsidR="006158FF" w:rsidRDefault="006158FF" w:rsidP="006158FF">
      <w:pPr>
        <w:keepNext/>
        <w:tabs>
          <w:tab w:val="left" w:pos="575"/>
        </w:tabs>
        <w:ind w:hanging="575"/>
        <w:jc w:val="both"/>
      </w:pPr>
    </w:p>
    <w:p w:rsidR="006158FF" w:rsidRDefault="006158FF" w:rsidP="006158FF">
      <w:pPr>
        <w:keepNext/>
        <w:tabs>
          <w:tab w:val="left" w:pos="575"/>
        </w:tabs>
        <w:ind w:hanging="575"/>
        <w:jc w:val="both"/>
        <w:rPr>
          <w:b/>
          <w:bCs/>
        </w:rPr>
      </w:pPr>
      <w:r>
        <w:rPr>
          <w:b/>
          <w:bCs/>
        </w:rPr>
        <w:t xml:space="preserve">   Choix des universités</w:t>
      </w:r>
    </w:p>
    <w:p w:rsidR="006158FF" w:rsidRDefault="006158FF" w:rsidP="006158FF">
      <w:pPr>
        <w:spacing w:line="240" w:lineRule="atLeast"/>
        <w:jc w:val="both"/>
        <w:rPr>
          <w:spacing w:val="4"/>
        </w:rPr>
      </w:pPr>
      <w:r>
        <w:rPr>
          <w:spacing w:val="4"/>
        </w:rPr>
        <w:t xml:space="preserve">      </w:t>
      </w:r>
    </w:p>
    <w:p w:rsidR="006158FF" w:rsidRDefault="006158FF" w:rsidP="006158FF">
      <w:pPr>
        <w:spacing w:line="240" w:lineRule="atLeast"/>
        <w:jc w:val="both"/>
      </w:pPr>
      <w:r>
        <w:rPr>
          <w:spacing w:val="4"/>
        </w:rPr>
        <w:t xml:space="preserve">     Le Liban regroupe l’un des plus vastes réseaux d’institutions d’enseignement supérieur de la région. Nous y recensons une université publique, sept universités privées et une vingtaine d’institutions et d’écoles supérieures</w:t>
      </w:r>
      <w:r>
        <w:rPr>
          <w:sz w:val="18"/>
          <w:szCs w:val="18"/>
          <w:vertAlign w:val="superscript"/>
        </w:rPr>
        <w:footnoteReference w:id="12"/>
      </w:r>
      <w:r>
        <w:rPr>
          <w:spacing w:val="4"/>
        </w:rPr>
        <w:t>. Pour atteindre nos objectifs,</w:t>
      </w:r>
      <w:r>
        <w:t xml:space="preserve"> de février à juillet 2007, </w:t>
      </w:r>
      <w:r>
        <w:rPr>
          <w:spacing w:val="4"/>
        </w:rPr>
        <w:t xml:space="preserve">nous </w:t>
      </w:r>
      <w:r>
        <w:rPr>
          <w:spacing w:val="4"/>
        </w:rPr>
        <w:lastRenderedPageBreak/>
        <w:t>avons mené une enquête</w:t>
      </w:r>
      <w:r>
        <w:t xml:space="preserve"> </w:t>
      </w:r>
      <w:r>
        <w:rPr>
          <w:spacing w:val="4"/>
        </w:rPr>
        <w:t xml:space="preserve">auprès </w:t>
      </w:r>
      <w:r>
        <w:t>1052 étudiants</w:t>
      </w:r>
      <w:r>
        <w:rPr>
          <w:spacing w:val="4"/>
        </w:rPr>
        <w:t xml:space="preserve"> </w:t>
      </w:r>
      <w:r>
        <w:t xml:space="preserve">âgés de 18 à 20 ans, </w:t>
      </w:r>
      <w:r>
        <w:rPr>
          <w:spacing w:val="4"/>
        </w:rPr>
        <w:t xml:space="preserve">sélectionnés dans deux universités : la première est l’Université Saint-Joseph (USJ), </w:t>
      </w:r>
      <w:r>
        <w:t xml:space="preserve">le pôle de l’enseignement privé francophone au Liban. Elle accueille 5.93% des étudiants au Liban. </w:t>
      </w:r>
      <w:r>
        <w:rPr>
          <w:spacing w:val="4"/>
        </w:rPr>
        <w:t xml:space="preserve">La seconde est </w:t>
      </w:r>
      <w:r>
        <w:t>l’Université Libanaise, (UL). Il s’agit de la seule université publique du pays. Elle regroupe à elle seule 45.49% des étudiants du pays et joue un rôle primordial dans les formations scientifiques et littéraires des jeunes libanais. Ainsi, pour Choghrig Kasparian</w:t>
      </w:r>
      <w:r>
        <w:rPr>
          <w:sz w:val="18"/>
          <w:szCs w:val="18"/>
          <w:vertAlign w:val="superscript"/>
        </w:rPr>
        <w:footnoteReference w:id="13"/>
      </w:r>
      <w:r>
        <w:t xml:space="preserve"> « Les jeunes ingénieurs actifs sont formés en premier lieu à l’UL (32,1%). Environ le tiers des jeunes médecins ou des spécialistes de la santé ont obtenu leur diplôme de l’UL. La moitié des spécialistes des sciences exactes telles que les mathématiques, l’informatique, les sciences physiques sont aussi des diplômés de l’enseignement public. Les jeunes juristes eux aussi sont en grande majorité titulaires de diplômes délivrés par l’UL (60,2%). » </w:t>
      </w:r>
    </w:p>
    <w:p w:rsidR="006158FF" w:rsidRDefault="006158FF" w:rsidP="006158FF">
      <w:pPr>
        <w:jc w:val="both"/>
      </w:pPr>
    </w:p>
    <w:p w:rsidR="006158FF" w:rsidRDefault="006158FF" w:rsidP="006158FF">
      <w:pPr>
        <w:jc w:val="both"/>
        <w:rPr>
          <w:b/>
          <w:bCs/>
        </w:rPr>
      </w:pPr>
      <w:r>
        <w:rPr>
          <w:b/>
          <w:bCs/>
        </w:rPr>
        <w:t xml:space="preserve">Statut des langues </w:t>
      </w:r>
    </w:p>
    <w:p w:rsidR="006158FF" w:rsidRDefault="006158FF" w:rsidP="006158FF">
      <w:pPr>
        <w:jc w:val="both"/>
      </w:pPr>
    </w:p>
    <w:p w:rsidR="006158FF" w:rsidRDefault="006158FF" w:rsidP="006158FF">
      <w:pPr>
        <w:jc w:val="both"/>
      </w:pPr>
      <w:r>
        <w:t xml:space="preserve">      Le statut des langues est complexe au sein de l’UL. L’arabe y est la langue d’enseignement mais pratiquement tous les cursus de toutes les facultés prévoient un enseignement en langue étrangère. Ainsi, l’étudiant qui entre à l’université publique, doit préciser sa langue étrangère et s’inscrire dans la filière correspondante.  Cela dit, le volume horaire consacré à l’enseignement en langue étrangère varie d’une faculté à l’autre et d’une section régionale à l’autre. Traditionnellement la section 2 est réputée plus francophone que la section 1. Dans la section 2, le français sert de principale langue d’enseignement. Dans la section 1, l’arabe est omniprésent comme c’est le cas à la faculté des lettres, exception faite du département de français où une seule unité de valeur de langue arabe est prévue en première année. Enfin, certaines facultés comme celles de médecine ou de génie, sont trilingues, les professeurs utilisant indifféremment l’arabe, le français ou l’anglais. </w:t>
      </w:r>
    </w:p>
    <w:p w:rsidR="006158FF" w:rsidRDefault="006158FF" w:rsidP="006158FF">
      <w:pPr>
        <w:jc w:val="both"/>
      </w:pPr>
    </w:p>
    <w:p w:rsidR="006158FF" w:rsidRDefault="006158FF" w:rsidP="006158FF">
      <w:pPr>
        <w:jc w:val="both"/>
      </w:pPr>
      <w:r>
        <w:t xml:space="preserve">     La nouvelle réforme de l’UL en vigueur depuis quelques années :</w:t>
      </w:r>
    </w:p>
    <w:p w:rsidR="006158FF" w:rsidRDefault="006158FF" w:rsidP="006158FF">
      <w:pPr>
        <w:jc w:val="both"/>
      </w:pPr>
      <w:r>
        <w:t>- rend obligatoire des cours intensifs de langues avant le début de la 1</w:t>
      </w:r>
      <w:r>
        <w:rPr>
          <w:vertAlign w:val="superscript"/>
        </w:rPr>
        <w:t>ère</w:t>
      </w:r>
      <w:r>
        <w:t xml:space="preserve"> année d’études pour les facultés à concours. Pour les quatre facultés sans concours, Lettres, Sciences, Droit et Sciences humaines, dont les effectifs de 1</w:t>
      </w:r>
      <w:r>
        <w:rPr>
          <w:vertAlign w:val="superscript"/>
        </w:rPr>
        <w:t>ère</w:t>
      </w:r>
      <w:r>
        <w:t xml:space="preserve"> année sont pléthoriques, cette mesure est rapportée à la 2</w:t>
      </w:r>
      <w:r>
        <w:rPr>
          <w:vertAlign w:val="superscript"/>
        </w:rPr>
        <w:t>ème</w:t>
      </w:r>
      <w:r>
        <w:t xml:space="preserve"> année d’études ;</w:t>
      </w:r>
    </w:p>
    <w:p w:rsidR="006158FF" w:rsidRDefault="006158FF" w:rsidP="006158FF">
      <w:pPr>
        <w:jc w:val="both"/>
      </w:pPr>
      <w:r>
        <w:t>- double le nombre d’heures de cours de français et les rend obligatoires en 1</w:t>
      </w:r>
      <w:r>
        <w:rPr>
          <w:vertAlign w:val="superscript"/>
        </w:rPr>
        <w:t>ère</w:t>
      </w:r>
      <w:r>
        <w:t xml:space="preserve"> année (en 2</w:t>
      </w:r>
      <w:r>
        <w:rPr>
          <w:vertAlign w:val="superscript"/>
        </w:rPr>
        <w:t>ème</w:t>
      </w:r>
      <w:r>
        <w:t xml:space="preserve"> année pour les facultés sans concours) ;</w:t>
      </w:r>
    </w:p>
    <w:p w:rsidR="006158FF" w:rsidRDefault="006158FF" w:rsidP="006158FF">
      <w:pPr>
        <w:jc w:val="both"/>
      </w:pPr>
      <w:r>
        <w:t xml:space="preserve">- introduit une unité de valeur en français </w:t>
      </w:r>
      <w:r>
        <w:rPr>
          <w:color w:val="FF0000"/>
        </w:rPr>
        <w:t xml:space="preserve"> </w:t>
      </w:r>
      <w:r>
        <w:t>dans le cursus du 2</w:t>
      </w:r>
      <w:r>
        <w:rPr>
          <w:vertAlign w:val="superscript"/>
        </w:rPr>
        <w:t>ème</w:t>
      </w:r>
      <w:r>
        <w:t xml:space="preserve"> semestre de la première année et au moins deux par semestre, soit un tiers des enseignements, à partir de la deuxième année.</w:t>
      </w:r>
    </w:p>
    <w:p w:rsidR="006158FF" w:rsidRDefault="006158FF" w:rsidP="006158FF">
      <w:pPr>
        <w:jc w:val="both"/>
      </w:pPr>
    </w:p>
    <w:p w:rsidR="006158FF" w:rsidRDefault="006158FF" w:rsidP="006158FF">
      <w:pPr>
        <w:jc w:val="both"/>
      </w:pPr>
      <w:r>
        <w:t xml:space="preserve">     En ce qui concerne l’USJ la majorité des cours y est dispensée en français et une très bonne connaissance de cette langue est exigée. D’ailleurs la réussite à un test d’aptitude à la langue française figure parmi les conditions nécessaires à l’admission à l’USJ, sauf pour l’Institut des Etudes Orientales. Depuis la rentrée scolaire 1999/ 2000, </w:t>
      </w:r>
      <w:r>
        <w:rPr>
          <w:spacing w:val="4"/>
        </w:rPr>
        <w:t xml:space="preserve">l’anglais est introduit parallèlement au français comme langue obligatoire. </w:t>
      </w:r>
      <w:r>
        <w:t>Tous les étudiants de première année doivent présenter un test officiel d’évaluation du niveau d’anglais. Les étudiants inscrits en 1</w:t>
      </w:r>
      <w:r>
        <w:rPr>
          <w:vertAlign w:val="superscript"/>
        </w:rPr>
        <w:t>ère</w:t>
      </w:r>
      <w:r>
        <w:t xml:space="preserve"> année du 1</w:t>
      </w:r>
      <w:r>
        <w:rPr>
          <w:vertAlign w:val="superscript"/>
        </w:rPr>
        <w:t>er</w:t>
      </w:r>
      <w:r>
        <w:t xml:space="preserve"> cycle dans les instituts, écoles et facultés qui décernent leur diplôme au terme de 3 ans d’études seront autorisés à se présenter aux examens, mais ne recevront leur diplôme et ne participeront à la cérémonie de remise des diplômes qu’à condition d’avoir au préalable le "Georgetown English Proficiency Test".</w:t>
      </w:r>
      <w:r>
        <w:rPr>
          <w:sz w:val="20"/>
          <w:szCs w:val="20"/>
          <w:vertAlign w:val="superscript"/>
        </w:rPr>
        <w:footnoteReference w:id="14"/>
      </w:r>
      <w:r>
        <w:t xml:space="preserve"> Cette nouvelle politique linguistique de l’USJ est en harmonie avec celle menée par les établissements </w:t>
      </w:r>
      <w:r>
        <w:lastRenderedPageBreak/>
        <w:t xml:space="preserve">scolaires francophones qui, en optant pour le trilinguisme, cherchent à séduire et à sécuriser les lycéens francophones. </w:t>
      </w:r>
    </w:p>
    <w:p w:rsidR="006158FF" w:rsidRDefault="006158FF" w:rsidP="006158FF">
      <w:pPr>
        <w:jc w:val="both"/>
        <w:rPr>
          <w:b/>
          <w:bCs/>
        </w:rPr>
      </w:pPr>
    </w:p>
    <w:p w:rsidR="006158FF" w:rsidRDefault="006158FF" w:rsidP="006158FF">
      <w:pPr>
        <w:jc w:val="both"/>
        <w:rPr>
          <w:b/>
          <w:bCs/>
        </w:rPr>
      </w:pPr>
      <w:r>
        <w:rPr>
          <w:b/>
          <w:bCs/>
        </w:rPr>
        <w:t xml:space="preserve">Niveau linguistique </w:t>
      </w:r>
    </w:p>
    <w:p w:rsidR="006158FF" w:rsidRDefault="006158FF" w:rsidP="006158FF">
      <w:pPr>
        <w:ind w:firstLine="567"/>
        <w:jc w:val="both"/>
      </w:pPr>
    </w:p>
    <w:p w:rsidR="006158FF" w:rsidRDefault="006158FF" w:rsidP="006158FF">
      <w:pPr>
        <w:ind w:firstLine="567"/>
        <w:jc w:val="both"/>
        <w:rPr>
          <w:spacing w:val="4"/>
        </w:rPr>
      </w:pPr>
      <w:r>
        <w:t>Le niveau de français des étudiants est en grande partie lié au type d’écoles fréquentées</w:t>
      </w:r>
      <w:r>
        <w:rPr>
          <w:spacing w:val="4"/>
          <w:sz w:val="20"/>
          <w:szCs w:val="20"/>
          <w:vertAlign w:val="superscript"/>
        </w:rPr>
        <w:footnoteReference w:id="15"/>
      </w:r>
      <w:r>
        <w:rPr>
          <w:spacing w:val="4"/>
        </w:rPr>
        <w:t xml:space="preserve">. Pour mémoire, </w:t>
      </w:r>
      <w:r>
        <w:t>l’enseignement est libre au Liban « tant qu’il ne sera pas porté atteinte au droit des communautés d’avoir leurs écoles, sous réserve des prescriptions générales sur l’instruction publiques édictées par l’Etat »</w:t>
      </w:r>
      <w:r>
        <w:rPr>
          <w:spacing w:val="4"/>
        </w:rPr>
        <w:t>. Par conséquent, le secteur public et le secteur privé ne réservent pas le même statut à la langue étrangère. Contrairement aux écoles publiques qui accordent le même nombre d’heures d’enseignement à l’arabe et à la langue étrangère qui sert de  medium d’enseignement des matières scientifiques dès le cycle primaire, la plupart des écoles privées payantes considèrent la langue étrangère en l’occurrence le français comme une langue de scolarisation et de formation. Ainsi, dès les classes maternelles, elles prévoient un volume horaire considérable et un investissement pédagogique non négligeable en français. L’écart existant entre l’enseignement public et privé est très élevé comme en témoignent le pourcentage d’élèves ayant obtenu au moins la moyenne à l’épreuve de langue française du baccalauréat pour l’année 2006/2007.</w:t>
      </w:r>
    </w:p>
    <w:p w:rsidR="006158FF" w:rsidRDefault="006158FF" w:rsidP="006158FF">
      <w:pPr>
        <w:ind w:firstLine="560"/>
        <w:jc w:val="both"/>
        <w:rPr>
          <w:b/>
          <w:bCs/>
          <w:spacing w:val="4"/>
        </w:rPr>
      </w:pPr>
    </w:p>
    <w:p w:rsidR="006158FF" w:rsidRDefault="006158FF" w:rsidP="006158FF">
      <w:pPr>
        <w:spacing w:line="384" w:lineRule="auto"/>
        <w:jc w:val="both"/>
        <w:rPr>
          <w:b/>
          <w:bCs/>
        </w:rPr>
      </w:pPr>
      <w:r>
        <w:rPr>
          <w:b/>
          <w:bCs/>
        </w:rPr>
        <w:t xml:space="preserve"> Résultats des examens officiels 2006/2007</w:t>
      </w:r>
      <w:r>
        <w:rPr>
          <w:sz w:val="19"/>
          <w:szCs w:val="19"/>
          <w:vertAlign w:val="superscript"/>
        </w:rPr>
        <w:footnoteReference w:id="16"/>
      </w:r>
      <w:r>
        <w:rPr>
          <w:b/>
          <w:bCs/>
        </w:rPr>
        <w:t xml:space="preserve"> </w:t>
      </w:r>
    </w:p>
    <w:tbl>
      <w:tblPr>
        <w:tblW w:w="0" w:type="auto"/>
        <w:tblInd w:w="464" w:type="dxa"/>
        <w:tblLayout w:type="fixed"/>
        <w:tblCellMar>
          <w:left w:w="180" w:type="dxa"/>
          <w:right w:w="180" w:type="dxa"/>
        </w:tblCellMar>
        <w:tblLook w:val="0000"/>
      </w:tblPr>
      <w:tblGrid>
        <w:gridCol w:w="2977"/>
        <w:gridCol w:w="2551"/>
        <w:gridCol w:w="2693"/>
      </w:tblGrid>
      <w:tr w:rsidR="006158FF" w:rsidRPr="006158FF" w:rsidTr="00F0458B">
        <w:trPr>
          <w:trHeight w:val="383"/>
        </w:trPr>
        <w:tc>
          <w:tcPr>
            <w:tcW w:w="2977" w:type="dxa"/>
            <w:tcBorders>
              <w:top w:val="single" w:sz="8" w:space="0" w:color="000000"/>
              <w:left w:val="single" w:sz="8" w:space="0" w:color="000000"/>
              <w:bottom w:val="single" w:sz="8" w:space="0" w:color="000000"/>
              <w:right w:val="nil"/>
            </w:tcBorders>
          </w:tcPr>
          <w:p w:rsidR="006158FF" w:rsidRPr="006158FF" w:rsidRDefault="006158FF" w:rsidP="00F0458B">
            <w:pPr>
              <w:suppressAutoHyphens w:val="0"/>
              <w:overflowPunct/>
              <w:autoSpaceDE w:val="0"/>
              <w:autoSpaceDN w:val="0"/>
            </w:pPr>
          </w:p>
        </w:tc>
        <w:tc>
          <w:tcPr>
            <w:tcW w:w="2551" w:type="dxa"/>
            <w:tcBorders>
              <w:top w:val="single" w:sz="8" w:space="0" w:color="000000"/>
              <w:left w:val="single" w:sz="8" w:space="0" w:color="000000"/>
              <w:bottom w:val="single" w:sz="8" w:space="0" w:color="000000"/>
              <w:right w:val="nil"/>
            </w:tcBorders>
          </w:tcPr>
          <w:p w:rsidR="006158FF" w:rsidRPr="006158FF" w:rsidRDefault="006158FF" w:rsidP="00F0458B">
            <w:pPr>
              <w:jc w:val="center"/>
            </w:pPr>
            <w:r w:rsidRPr="006158FF">
              <w:rPr>
                <w:sz w:val="20"/>
                <w:szCs w:val="20"/>
              </w:rPr>
              <w:t>Secteur public</w:t>
            </w:r>
          </w:p>
        </w:tc>
        <w:tc>
          <w:tcPr>
            <w:tcW w:w="2693" w:type="dxa"/>
            <w:tcBorders>
              <w:top w:val="single" w:sz="8" w:space="0" w:color="000000"/>
              <w:left w:val="single" w:sz="8" w:space="0" w:color="000000"/>
              <w:bottom w:val="single" w:sz="8" w:space="0" w:color="000000"/>
              <w:right w:val="single" w:sz="8" w:space="0" w:color="000000"/>
            </w:tcBorders>
          </w:tcPr>
          <w:p w:rsidR="006158FF" w:rsidRPr="006158FF" w:rsidRDefault="006158FF" w:rsidP="00F0458B">
            <w:pPr>
              <w:jc w:val="center"/>
            </w:pPr>
            <w:r w:rsidRPr="006158FF">
              <w:rPr>
                <w:sz w:val="20"/>
                <w:szCs w:val="20"/>
              </w:rPr>
              <w:t>Secteur privé payant</w:t>
            </w:r>
          </w:p>
        </w:tc>
      </w:tr>
      <w:tr w:rsidR="006158FF" w:rsidRPr="006158FF" w:rsidTr="00F0458B">
        <w:trPr>
          <w:trHeight w:val="335"/>
        </w:trPr>
        <w:tc>
          <w:tcPr>
            <w:tcW w:w="2977" w:type="dxa"/>
            <w:tcBorders>
              <w:top w:val="single" w:sz="8" w:space="0" w:color="000000"/>
              <w:left w:val="single" w:sz="8" w:space="0" w:color="000000"/>
              <w:bottom w:val="single" w:sz="8" w:space="0" w:color="000000"/>
              <w:right w:val="nil"/>
            </w:tcBorders>
          </w:tcPr>
          <w:p w:rsidR="006158FF" w:rsidRPr="006158FF" w:rsidRDefault="006158FF" w:rsidP="00F0458B">
            <w:pPr>
              <w:jc w:val="both"/>
            </w:pPr>
            <w:r w:rsidRPr="006158FF">
              <w:rPr>
                <w:sz w:val="20"/>
                <w:szCs w:val="20"/>
              </w:rPr>
              <w:t xml:space="preserve">Sciences de la vie </w:t>
            </w:r>
          </w:p>
        </w:tc>
        <w:tc>
          <w:tcPr>
            <w:tcW w:w="2551" w:type="dxa"/>
            <w:tcBorders>
              <w:top w:val="single" w:sz="8" w:space="0" w:color="000000"/>
              <w:left w:val="single" w:sz="8" w:space="0" w:color="000000"/>
              <w:bottom w:val="single" w:sz="8" w:space="0" w:color="000000"/>
              <w:right w:val="nil"/>
            </w:tcBorders>
          </w:tcPr>
          <w:p w:rsidR="006158FF" w:rsidRPr="006158FF" w:rsidRDefault="006158FF" w:rsidP="00F0458B">
            <w:pPr>
              <w:jc w:val="center"/>
            </w:pPr>
            <w:r w:rsidRPr="006158FF">
              <w:rPr>
                <w:rFonts w:ascii="Arial" w:hAnsi="Arial" w:cs="Arial"/>
                <w:color w:val="000000"/>
                <w:sz w:val="20"/>
                <w:szCs w:val="20"/>
              </w:rPr>
              <w:t>22,73%</w:t>
            </w:r>
          </w:p>
        </w:tc>
        <w:tc>
          <w:tcPr>
            <w:tcW w:w="2693" w:type="dxa"/>
            <w:tcBorders>
              <w:top w:val="single" w:sz="8" w:space="0" w:color="000000"/>
              <w:left w:val="single" w:sz="8" w:space="0" w:color="000000"/>
              <w:bottom w:val="single" w:sz="8" w:space="0" w:color="000000"/>
              <w:right w:val="single" w:sz="8" w:space="0" w:color="000000"/>
            </w:tcBorders>
          </w:tcPr>
          <w:p w:rsidR="006158FF" w:rsidRPr="006158FF" w:rsidRDefault="006158FF" w:rsidP="00F0458B">
            <w:pPr>
              <w:jc w:val="center"/>
            </w:pPr>
            <w:r w:rsidRPr="006158FF">
              <w:rPr>
                <w:rFonts w:ascii="Arial" w:hAnsi="Arial" w:cs="Arial"/>
                <w:color w:val="000000"/>
                <w:sz w:val="20"/>
                <w:szCs w:val="20"/>
              </w:rPr>
              <w:t>53,22%</w:t>
            </w:r>
          </w:p>
        </w:tc>
      </w:tr>
      <w:tr w:rsidR="006158FF" w:rsidRPr="006158FF" w:rsidTr="00F0458B">
        <w:trPr>
          <w:trHeight w:val="335"/>
        </w:trPr>
        <w:tc>
          <w:tcPr>
            <w:tcW w:w="2977" w:type="dxa"/>
            <w:tcBorders>
              <w:top w:val="single" w:sz="8" w:space="0" w:color="000000"/>
              <w:left w:val="single" w:sz="8" w:space="0" w:color="000000"/>
              <w:bottom w:val="single" w:sz="8" w:space="0" w:color="000000"/>
              <w:right w:val="nil"/>
            </w:tcBorders>
          </w:tcPr>
          <w:p w:rsidR="006158FF" w:rsidRPr="006158FF" w:rsidRDefault="006158FF" w:rsidP="00F0458B">
            <w:pPr>
              <w:jc w:val="both"/>
            </w:pPr>
            <w:r w:rsidRPr="006158FF">
              <w:rPr>
                <w:sz w:val="20"/>
                <w:szCs w:val="20"/>
              </w:rPr>
              <w:t>Sciences générales</w:t>
            </w:r>
          </w:p>
        </w:tc>
        <w:tc>
          <w:tcPr>
            <w:tcW w:w="2551" w:type="dxa"/>
            <w:tcBorders>
              <w:top w:val="single" w:sz="8" w:space="0" w:color="000000"/>
              <w:left w:val="single" w:sz="8" w:space="0" w:color="000000"/>
              <w:bottom w:val="single" w:sz="8" w:space="0" w:color="000000"/>
              <w:right w:val="nil"/>
            </w:tcBorders>
          </w:tcPr>
          <w:p w:rsidR="006158FF" w:rsidRPr="006158FF" w:rsidRDefault="006158FF" w:rsidP="00F0458B">
            <w:pPr>
              <w:jc w:val="center"/>
            </w:pPr>
            <w:r w:rsidRPr="006158FF">
              <w:rPr>
                <w:rFonts w:ascii="Arial" w:hAnsi="Arial" w:cs="Arial"/>
                <w:color w:val="000000"/>
                <w:sz w:val="20"/>
                <w:szCs w:val="20"/>
              </w:rPr>
              <w:t>20,69%</w:t>
            </w:r>
          </w:p>
        </w:tc>
        <w:tc>
          <w:tcPr>
            <w:tcW w:w="2693" w:type="dxa"/>
            <w:tcBorders>
              <w:top w:val="single" w:sz="8" w:space="0" w:color="000000"/>
              <w:left w:val="single" w:sz="8" w:space="0" w:color="000000"/>
              <w:bottom w:val="single" w:sz="8" w:space="0" w:color="000000"/>
              <w:right w:val="single" w:sz="8" w:space="0" w:color="000000"/>
            </w:tcBorders>
          </w:tcPr>
          <w:p w:rsidR="006158FF" w:rsidRPr="006158FF" w:rsidRDefault="006158FF" w:rsidP="00F0458B">
            <w:pPr>
              <w:jc w:val="center"/>
            </w:pPr>
            <w:r w:rsidRPr="006158FF">
              <w:rPr>
                <w:rFonts w:ascii="Arial" w:hAnsi="Arial" w:cs="Arial"/>
                <w:color w:val="000000"/>
                <w:sz w:val="20"/>
                <w:szCs w:val="20"/>
              </w:rPr>
              <w:t>59,09%</w:t>
            </w:r>
          </w:p>
        </w:tc>
      </w:tr>
      <w:tr w:rsidR="006158FF" w:rsidRPr="006158FF" w:rsidTr="00F0458B">
        <w:trPr>
          <w:trHeight w:val="335"/>
        </w:trPr>
        <w:tc>
          <w:tcPr>
            <w:tcW w:w="2977" w:type="dxa"/>
            <w:tcBorders>
              <w:top w:val="single" w:sz="8" w:space="0" w:color="000000"/>
              <w:left w:val="single" w:sz="8" w:space="0" w:color="000000"/>
              <w:bottom w:val="single" w:sz="8" w:space="0" w:color="000000"/>
              <w:right w:val="nil"/>
            </w:tcBorders>
          </w:tcPr>
          <w:p w:rsidR="006158FF" w:rsidRPr="006158FF" w:rsidRDefault="006158FF" w:rsidP="00F0458B">
            <w:pPr>
              <w:jc w:val="both"/>
            </w:pPr>
            <w:r w:rsidRPr="006158FF">
              <w:rPr>
                <w:sz w:val="20"/>
                <w:szCs w:val="20"/>
              </w:rPr>
              <w:t>Humanités</w:t>
            </w:r>
          </w:p>
        </w:tc>
        <w:tc>
          <w:tcPr>
            <w:tcW w:w="2551" w:type="dxa"/>
            <w:tcBorders>
              <w:top w:val="single" w:sz="8" w:space="0" w:color="000000"/>
              <w:left w:val="single" w:sz="8" w:space="0" w:color="000000"/>
              <w:bottom w:val="single" w:sz="8" w:space="0" w:color="000000"/>
              <w:right w:val="nil"/>
            </w:tcBorders>
          </w:tcPr>
          <w:p w:rsidR="006158FF" w:rsidRPr="006158FF" w:rsidRDefault="006158FF" w:rsidP="00F0458B">
            <w:pPr>
              <w:jc w:val="center"/>
            </w:pPr>
            <w:r w:rsidRPr="006158FF">
              <w:rPr>
                <w:rFonts w:ascii="Arial" w:hAnsi="Arial" w:cs="Arial"/>
                <w:color w:val="000000"/>
                <w:sz w:val="20"/>
                <w:szCs w:val="20"/>
              </w:rPr>
              <w:t>16,98%</w:t>
            </w:r>
          </w:p>
        </w:tc>
        <w:tc>
          <w:tcPr>
            <w:tcW w:w="2693" w:type="dxa"/>
            <w:tcBorders>
              <w:top w:val="single" w:sz="8" w:space="0" w:color="000000"/>
              <w:left w:val="single" w:sz="8" w:space="0" w:color="000000"/>
              <w:bottom w:val="single" w:sz="8" w:space="0" w:color="000000"/>
              <w:right w:val="single" w:sz="8" w:space="0" w:color="000000"/>
            </w:tcBorders>
          </w:tcPr>
          <w:p w:rsidR="006158FF" w:rsidRPr="006158FF" w:rsidRDefault="006158FF" w:rsidP="00F0458B">
            <w:pPr>
              <w:jc w:val="center"/>
            </w:pPr>
            <w:r w:rsidRPr="006158FF">
              <w:rPr>
                <w:rFonts w:ascii="Arial" w:hAnsi="Arial" w:cs="Arial"/>
                <w:color w:val="000000"/>
                <w:sz w:val="20"/>
                <w:szCs w:val="20"/>
              </w:rPr>
              <w:t>45,80%</w:t>
            </w:r>
          </w:p>
        </w:tc>
      </w:tr>
      <w:tr w:rsidR="006158FF" w:rsidRPr="006158FF" w:rsidTr="00F0458B">
        <w:trPr>
          <w:trHeight w:val="335"/>
        </w:trPr>
        <w:tc>
          <w:tcPr>
            <w:tcW w:w="2977" w:type="dxa"/>
            <w:tcBorders>
              <w:top w:val="single" w:sz="8" w:space="0" w:color="000000"/>
              <w:left w:val="single" w:sz="8" w:space="0" w:color="000000"/>
              <w:bottom w:val="single" w:sz="8" w:space="0" w:color="000000"/>
              <w:right w:val="nil"/>
            </w:tcBorders>
          </w:tcPr>
          <w:p w:rsidR="006158FF" w:rsidRPr="006158FF" w:rsidRDefault="006158FF" w:rsidP="00F0458B">
            <w:pPr>
              <w:jc w:val="both"/>
            </w:pPr>
            <w:r w:rsidRPr="006158FF">
              <w:rPr>
                <w:sz w:val="20"/>
                <w:szCs w:val="20"/>
              </w:rPr>
              <w:t>Sociologie/ Economie</w:t>
            </w:r>
          </w:p>
        </w:tc>
        <w:tc>
          <w:tcPr>
            <w:tcW w:w="2551" w:type="dxa"/>
            <w:tcBorders>
              <w:top w:val="single" w:sz="8" w:space="0" w:color="000000"/>
              <w:left w:val="single" w:sz="8" w:space="0" w:color="000000"/>
              <w:bottom w:val="single" w:sz="8" w:space="0" w:color="000000"/>
              <w:right w:val="nil"/>
            </w:tcBorders>
          </w:tcPr>
          <w:p w:rsidR="006158FF" w:rsidRPr="006158FF" w:rsidRDefault="006158FF" w:rsidP="00F0458B">
            <w:pPr>
              <w:jc w:val="center"/>
            </w:pPr>
            <w:r w:rsidRPr="006158FF">
              <w:rPr>
                <w:rFonts w:ascii="Arial" w:hAnsi="Arial" w:cs="Arial"/>
                <w:color w:val="000000"/>
                <w:sz w:val="20"/>
                <w:szCs w:val="20"/>
              </w:rPr>
              <w:t>14,98%</w:t>
            </w:r>
          </w:p>
        </w:tc>
        <w:tc>
          <w:tcPr>
            <w:tcW w:w="2693" w:type="dxa"/>
            <w:tcBorders>
              <w:top w:val="single" w:sz="8" w:space="0" w:color="000000"/>
              <w:left w:val="single" w:sz="8" w:space="0" w:color="000000"/>
              <w:bottom w:val="single" w:sz="8" w:space="0" w:color="000000"/>
              <w:right w:val="single" w:sz="8" w:space="0" w:color="000000"/>
            </w:tcBorders>
          </w:tcPr>
          <w:p w:rsidR="006158FF" w:rsidRPr="006158FF" w:rsidRDefault="006158FF" w:rsidP="00F0458B">
            <w:pPr>
              <w:jc w:val="center"/>
            </w:pPr>
            <w:r w:rsidRPr="006158FF">
              <w:rPr>
                <w:rFonts w:ascii="Arial" w:hAnsi="Arial" w:cs="Arial"/>
                <w:color w:val="000000"/>
                <w:sz w:val="20"/>
                <w:szCs w:val="20"/>
              </w:rPr>
              <w:t>37,28%</w:t>
            </w:r>
          </w:p>
        </w:tc>
      </w:tr>
    </w:tbl>
    <w:p w:rsidR="006158FF" w:rsidRDefault="006158FF" w:rsidP="006158FF">
      <w:pPr>
        <w:jc w:val="both"/>
      </w:pPr>
    </w:p>
    <w:p w:rsidR="006158FF" w:rsidRDefault="006158FF" w:rsidP="006158FF">
      <w:pPr>
        <w:ind w:firstLine="567"/>
        <w:jc w:val="both"/>
      </w:pPr>
      <w:r>
        <w:t>On considère que les étudiants de l’UL venant majoritairement des écoles publiques ont une connaissance faible à moyenne de la langue française</w:t>
      </w:r>
      <w:r>
        <w:rPr>
          <w:sz w:val="20"/>
          <w:szCs w:val="20"/>
          <w:vertAlign w:val="superscript"/>
        </w:rPr>
        <w:footnoteReference w:id="17"/>
      </w:r>
      <w:r>
        <w:t xml:space="preserve">. Nada Majzoub, directrice du bureau de langues de l’UL affirme que le niveau linguistique des étudiants, varie entre les niveaux A2 et B1 du cadre européen commun de référence pour les langues (CECR). </w:t>
      </w:r>
    </w:p>
    <w:p w:rsidR="006158FF" w:rsidRDefault="006158FF" w:rsidP="006158FF">
      <w:pPr>
        <w:ind w:firstLine="567"/>
        <w:jc w:val="both"/>
      </w:pPr>
    </w:p>
    <w:p w:rsidR="006158FF" w:rsidRDefault="006158FF" w:rsidP="006158FF">
      <w:pPr>
        <w:spacing w:after="240"/>
        <w:jc w:val="both"/>
      </w:pPr>
      <w:r>
        <w:t xml:space="preserve">       En ce qui concerne le niveau de français des étudiants de L’USJ, aucune donnée n’est rendue publique à ce sujet. Toutefois, Nadine Riachi, directeur-adjoint du Centre d'étude des langues vivantes </w:t>
      </w:r>
      <w:r>
        <w:rPr>
          <w:color w:val="000000"/>
        </w:rPr>
        <w:t>(CEL)</w:t>
      </w:r>
      <w:r>
        <w:t xml:space="preserve">, Garine Papazian, directrice de l’Institut libanais d’éducateurs (ILE) de la faculté des sciences de l’éducation, ou encore Toufic Rizk, chef de département de la faculté des sciences de l’USJ que nous avons rencontrés au second semestre de 2007, étaient unanimes à déplorer la baisse du niveau linguistique des étudiants de première année. Pourtant, la réussite au test d’aptitude de langue française est une condition sine qua non pour l’admission à l’USJ. Pour y remédier, ils prennent l’initiative de multiplier des cours de perfectionnement linguistique. Contrairement à l’UL, ces cours de langue restent limités à quelques facultés et concernent un nombre réduit d’étudiants. Face à ce phénomène, on se demande si  la baisse du niveau de français dénoncée par les uns et les autres et non </w:t>
      </w:r>
      <w:r>
        <w:lastRenderedPageBreak/>
        <w:t xml:space="preserve">vérifiée par nos soins faute de temps et de moyens techniques, n’aurait pas des répercussions sur les pratiques linguistiques des étudiants. </w:t>
      </w:r>
    </w:p>
    <w:p w:rsidR="006158FF" w:rsidRDefault="006158FF" w:rsidP="006158FF">
      <w:pPr>
        <w:ind w:right="170"/>
        <w:jc w:val="both"/>
        <w:rPr>
          <w:b/>
          <w:bCs/>
        </w:rPr>
      </w:pPr>
      <w:r>
        <w:rPr>
          <w:b/>
          <w:bCs/>
        </w:rPr>
        <w:t xml:space="preserve">2- Pratiques linguistiques </w:t>
      </w:r>
    </w:p>
    <w:p w:rsidR="006158FF" w:rsidRDefault="006158FF" w:rsidP="006158FF">
      <w:pPr>
        <w:ind w:right="170"/>
        <w:jc w:val="both"/>
        <w:rPr>
          <w:b/>
          <w:bCs/>
        </w:rPr>
      </w:pPr>
      <w:r>
        <w:rPr>
          <w:b/>
          <w:bCs/>
        </w:rPr>
        <w:t xml:space="preserve">  - Résultats globaux </w:t>
      </w:r>
    </w:p>
    <w:p w:rsidR="006158FF" w:rsidRDefault="006158FF" w:rsidP="006158FF">
      <w:pPr>
        <w:jc w:val="both"/>
      </w:pPr>
    </w:p>
    <w:p w:rsidR="006158FF" w:rsidRDefault="006158FF" w:rsidP="006158FF">
      <w:pPr>
        <w:jc w:val="both"/>
      </w:pPr>
      <w:r>
        <w:t xml:space="preserve">      Toutes catégories confondues, rares sont les étudiants qui </w:t>
      </w:r>
      <w:r>
        <w:rPr>
          <w:i/>
          <w:iCs/>
        </w:rPr>
        <w:t>déclarent</w:t>
      </w:r>
      <w:r>
        <w:t xml:space="preserve"> parler souvent en français ou en franbanais</w:t>
      </w:r>
      <w:r>
        <w:rPr>
          <w:vertAlign w:val="superscript"/>
        </w:rPr>
        <w:footnoteReference w:id="18"/>
      </w:r>
      <w:r>
        <w:t xml:space="preserve"> avec leur parents (18.53%), leurs frères et sœurs (25.50%), leurs amis (29%) ou encore leurs camarades (22%). En effet, c’est l’arabe qui sert de première langue de communication dans le cercle familial et intime. </w:t>
      </w:r>
    </w:p>
    <w:p w:rsidR="006158FF" w:rsidRDefault="006158FF" w:rsidP="006158FF">
      <w:pPr>
        <w:jc w:val="both"/>
      </w:pPr>
      <w:r>
        <w:t xml:space="preserve">En revanche, le français occupe une grande place au sein de l’université. La majorité des informateurs disent s’adresser à leurs </w:t>
      </w:r>
      <w:r w:rsidRPr="00955C09">
        <w:t>professeurs en français (77.96%),</w:t>
      </w:r>
      <w:r>
        <w:rPr>
          <w:color w:val="FF0000"/>
        </w:rPr>
        <w:t xml:space="preserve">  </w:t>
      </w:r>
      <w:r>
        <w:t xml:space="preserve">recourir souvent à cette même langue pour prendre des notes (67%), faire de la recherche (69.56%), consulter des ouvrages spécialisés (70%), lire des romans et, des revues (48%). </w:t>
      </w:r>
    </w:p>
    <w:p w:rsidR="006158FF" w:rsidRDefault="006158FF" w:rsidP="006158FF">
      <w:pPr>
        <w:jc w:val="both"/>
      </w:pPr>
    </w:p>
    <w:p w:rsidR="006158FF" w:rsidRDefault="006158FF" w:rsidP="006158FF">
      <w:pPr>
        <w:jc w:val="both"/>
      </w:pPr>
      <w:r>
        <w:t xml:space="preserve">Ils sont nombreux à suivre régulièrement des programmes de télévision en arabe (39%) et anglais (34%) mais plus rarement en français (26%). Ils écoutent davantage de chansons arabes (38%) que de chansons occidentales : françaises (29.67%) et chansons anglaises (31%). Les chansons francophones des années soixante-dix, qui évoquent le thème de l’amour où « la musique est douce et les paroles sont mélodieuses et sensuelles » séduisent particulièrement nos sondés. Enfin, ils consultent souvent des sites Internet en anglais (55.15%), rarement des sites en français (33.64%) et presque jamais des sites en arabe (11.19%).  </w:t>
      </w:r>
    </w:p>
    <w:p w:rsidR="006158FF" w:rsidRDefault="006158FF" w:rsidP="006158FF">
      <w:pPr>
        <w:jc w:val="both"/>
      </w:pPr>
    </w:p>
    <w:p w:rsidR="006158FF" w:rsidRDefault="006158FF" w:rsidP="006158FF">
      <w:pPr>
        <w:jc w:val="both"/>
      </w:pPr>
      <w:r>
        <w:t xml:space="preserve">       Quant au cinéma, on sait déjà que le film français reste le parent pauvre au Liban par comparaison au film américain. Son taux d’audience est le plus faible car 10% seulement des enquêtés disent avoir l’occasion de voir un film francophone. Cette tendance reflète surtout les choix offerts par les salles de cinéma qui présentent en moyenne cinq films anglo-américains pour un film francophone et un film arabe.</w:t>
      </w:r>
    </w:p>
    <w:p w:rsidR="006158FF" w:rsidRDefault="006158FF" w:rsidP="006158FF">
      <w:pPr>
        <w:jc w:val="both"/>
      </w:pPr>
      <w:r>
        <w:t xml:space="preserve">Enfin, les sondés consultent régulièrement des sites internet anglophones (55%), francophones (33.41%) et arabophones (11.53%). </w:t>
      </w:r>
    </w:p>
    <w:p w:rsidR="006158FF" w:rsidRDefault="006158FF" w:rsidP="006158FF">
      <w:pPr>
        <w:ind w:right="170"/>
        <w:jc w:val="both"/>
        <w:rPr>
          <w:b/>
          <w:bCs/>
        </w:rPr>
      </w:pPr>
    </w:p>
    <w:p w:rsidR="006158FF" w:rsidRDefault="006158FF" w:rsidP="006158FF">
      <w:pPr>
        <w:ind w:right="170"/>
        <w:jc w:val="both"/>
        <w:rPr>
          <w:b/>
          <w:bCs/>
        </w:rPr>
      </w:pPr>
      <w:r>
        <w:rPr>
          <w:b/>
          <w:bCs/>
        </w:rPr>
        <w:t>4. Comparaison des pratiques linguistiques</w:t>
      </w:r>
    </w:p>
    <w:p w:rsidR="006158FF" w:rsidRDefault="006158FF" w:rsidP="006158FF">
      <w:pPr>
        <w:ind w:right="170"/>
        <w:jc w:val="both"/>
        <w:rPr>
          <w:b/>
          <w:bCs/>
        </w:rPr>
      </w:pPr>
      <w:r>
        <w:rPr>
          <w:b/>
          <w:bCs/>
        </w:rPr>
        <w:t>- Section 1/ section 2 de l’UL</w:t>
      </w:r>
    </w:p>
    <w:p w:rsidR="006158FF" w:rsidRDefault="006158FF" w:rsidP="006158FF">
      <w:pPr>
        <w:ind w:right="170"/>
        <w:jc w:val="both"/>
        <w:rPr>
          <w:b/>
          <w:bCs/>
        </w:rPr>
      </w:pPr>
    </w:p>
    <w:p w:rsidR="006158FF" w:rsidRDefault="006158FF" w:rsidP="006158FF">
      <w:pPr>
        <w:pStyle w:val="Corpsdetexte"/>
        <w:rPr>
          <w:szCs w:val="23"/>
          <w:u w:val="single"/>
        </w:rPr>
      </w:pPr>
      <w:r w:rsidRPr="00463CD5">
        <w:rPr>
          <w:szCs w:val="23"/>
        </w:rPr>
        <w:t>4.1</w:t>
      </w:r>
      <w:r>
        <w:rPr>
          <w:szCs w:val="23"/>
          <w:u w:val="single"/>
        </w:rPr>
        <w:t xml:space="preserve"> </w:t>
      </w:r>
      <w:r w:rsidRPr="00FA26E6">
        <w:rPr>
          <w:szCs w:val="23"/>
          <w:u w:val="single"/>
        </w:rPr>
        <w:t xml:space="preserve">Choix de la langue de communication </w:t>
      </w:r>
      <w:r>
        <w:rPr>
          <w:szCs w:val="23"/>
          <w:u w:val="single"/>
        </w:rPr>
        <w:t xml:space="preserve">la plus utilisée </w:t>
      </w:r>
      <w:r w:rsidRPr="00FA26E6">
        <w:rPr>
          <w:szCs w:val="23"/>
          <w:u w:val="single"/>
        </w:rPr>
        <w:t>selon l’interlocuteur</w:t>
      </w:r>
      <w:r>
        <w:rPr>
          <w:szCs w:val="23"/>
          <w:u w:val="single"/>
        </w:rPr>
        <w:t xml:space="preserve"> : </w:t>
      </w:r>
    </w:p>
    <w:p w:rsidR="006158FF" w:rsidRDefault="006158FF" w:rsidP="006158FF">
      <w:pPr>
        <w:pStyle w:val="Corpsdetexte"/>
        <w:rPr>
          <w:szCs w:val="23"/>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9"/>
        <w:gridCol w:w="1093"/>
        <w:gridCol w:w="1268"/>
        <w:gridCol w:w="895"/>
        <w:gridCol w:w="1256"/>
        <w:gridCol w:w="1372"/>
        <w:gridCol w:w="1413"/>
      </w:tblGrid>
      <w:tr w:rsidR="006158FF" w:rsidRPr="006158FF" w:rsidTr="00F0458B">
        <w:tc>
          <w:tcPr>
            <w:tcW w:w="1139" w:type="dxa"/>
            <w:vMerge w:val="restart"/>
          </w:tcPr>
          <w:p w:rsidR="006158FF" w:rsidRPr="00C81C2E" w:rsidRDefault="006158FF" w:rsidP="00F0458B">
            <w:pPr>
              <w:pStyle w:val="Corpsdetexte"/>
              <w:rPr>
                <w:szCs w:val="23"/>
                <w:u w:val="single"/>
              </w:rPr>
            </w:pPr>
          </w:p>
        </w:tc>
        <w:tc>
          <w:tcPr>
            <w:tcW w:w="3256" w:type="dxa"/>
            <w:gridSpan w:val="3"/>
          </w:tcPr>
          <w:p w:rsidR="006158FF" w:rsidRPr="000171BC" w:rsidRDefault="006158FF" w:rsidP="00F0458B">
            <w:pPr>
              <w:pStyle w:val="Corpsdetexte"/>
              <w:jc w:val="center"/>
              <w:rPr>
                <w:b/>
                <w:szCs w:val="23"/>
              </w:rPr>
            </w:pPr>
            <w:r w:rsidRPr="000171BC">
              <w:rPr>
                <w:b/>
                <w:szCs w:val="23"/>
              </w:rPr>
              <w:t>Section 1</w:t>
            </w:r>
          </w:p>
        </w:tc>
        <w:tc>
          <w:tcPr>
            <w:tcW w:w="4041" w:type="dxa"/>
            <w:gridSpan w:val="3"/>
          </w:tcPr>
          <w:p w:rsidR="006158FF" w:rsidRPr="000171BC" w:rsidRDefault="006158FF" w:rsidP="00F0458B">
            <w:pPr>
              <w:pStyle w:val="Corpsdetexte"/>
              <w:jc w:val="center"/>
              <w:rPr>
                <w:b/>
                <w:szCs w:val="23"/>
              </w:rPr>
            </w:pPr>
            <w:r w:rsidRPr="000171BC">
              <w:rPr>
                <w:b/>
                <w:szCs w:val="23"/>
              </w:rPr>
              <w:t>Section 2</w:t>
            </w:r>
          </w:p>
        </w:tc>
      </w:tr>
      <w:tr w:rsidR="006158FF" w:rsidRPr="006158FF" w:rsidTr="00F0458B">
        <w:tc>
          <w:tcPr>
            <w:tcW w:w="1139" w:type="dxa"/>
            <w:vMerge/>
          </w:tcPr>
          <w:p w:rsidR="006158FF" w:rsidRPr="00C81C2E" w:rsidRDefault="006158FF" w:rsidP="00F0458B">
            <w:pPr>
              <w:pStyle w:val="Corpsdetexte"/>
              <w:rPr>
                <w:sz w:val="20"/>
                <w:szCs w:val="19"/>
              </w:rPr>
            </w:pPr>
          </w:p>
        </w:tc>
        <w:tc>
          <w:tcPr>
            <w:tcW w:w="1093" w:type="dxa"/>
            <w:tcBorders>
              <w:right w:val="single" w:sz="4" w:space="0" w:color="auto"/>
            </w:tcBorders>
          </w:tcPr>
          <w:p w:rsidR="006158FF" w:rsidRPr="00C81C2E" w:rsidRDefault="006158FF" w:rsidP="00F0458B">
            <w:pPr>
              <w:pStyle w:val="Corpsdetexte"/>
              <w:jc w:val="center"/>
              <w:rPr>
                <w:sz w:val="16"/>
                <w:szCs w:val="16"/>
              </w:rPr>
            </w:pPr>
            <w:r w:rsidRPr="00C81C2E">
              <w:rPr>
                <w:sz w:val="16"/>
                <w:szCs w:val="16"/>
              </w:rPr>
              <w:t>Français</w:t>
            </w:r>
          </w:p>
        </w:tc>
        <w:tc>
          <w:tcPr>
            <w:tcW w:w="1268" w:type="dxa"/>
            <w:tcBorders>
              <w:left w:val="single" w:sz="4" w:space="0" w:color="auto"/>
              <w:right w:val="single" w:sz="4" w:space="0" w:color="auto"/>
            </w:tcBorders>
          </w:tcPr>
          <w:p w:rsidR="006158FF" w:rsidRPr="00C81C2E" w:rsidRDefault="006158FF" w:rsidP="00F0458B">
            <w:pPr>
              <w:pStyle w:val="Corpsdetexte"/>
              <w:jc w:val="center"/>
              <w:rPr>
                <w:sz w:val="16"/>
                <w:szCs w:val="16"/>
              </w:rPr>
            </w:pPr>
            <w:r w:rsidRPr="00C81C2E">
              <w:rPr>
                <w:sz w:val="16"/>
                <w:szCs w:val="16"/>
              </w:rPr>
              <w:t>Anglais</w:t>
            </w:r>
          </w:p>
        </w:tc>
        <w:tc>
          <w:tcPr>
            <w:tcW w:w="895" w:type="dxa"/>
            <w:tcBorders>
              <w:left w:val="single" w:sz="4" w:space="0" w:color="auto"/>
            </w:tcBorders>
          </w:tcPr>
          <w:p w:rsidR="006158FF" w:rsidRPr="00C81C2E" w:rsidRDefault="006158FF" w:rsidP="00F0458B">
            <w:pPr>
              <w:pStyle w:val="Corpsdetexte"/>
              <w:jc w:val="center"/>
              <w:rPr>
                <w:sz w:val="16"/>
                <w:szCs w:val="16"/>
              </w:rPr>
            </w:pPr>
            <w:r w:rsidRPr="00C81C2E">
              <w:rPr>
                <w:sz w:val="16"/>
                <w:szCs w:val="16"/>
              </w:rPr>
              <w:t>Arabe</w:t>
            </w:r>
          </w:p>
        </w:tc>
        <w:tc>
          <w:tcPr>
            <w:tcW w:w="1256" w:type="dxa"/>
            <w:tcBorders>
              <w:right w:val="single" w:sz="4" w:space="0" w:color="auto"/>
            </w:tcBorders>
          </w:tcPr>
          <w:p w:rsidR="006158FF" w:rsidRPr="00C81C2E" w:rsidRDefault="006158FF" w:rsidP="00F0458B">
            <w:pPr>
              <w:pStyle w:val="Corpsdetexte"/>
              <w:jc w:val="center"/>
              <w:rPr>
                <w:sz w:val="16"/>
                <w:szCs w:val="16"/>
              </w:rPr>
            </w:pPr>
            <w:r w:rsidRPr="00C81C2E">
              <w:rPr>
                <w:sz w:val="16"/>
                <w:szCs w:val="16"/>
              </w:rPr>
              <w:t>Français</w:t>
            </w:r>
          </w:p>
        </w:tc>
        <w:tc>
          <w:tcPr>
            <w:tcW w:w="1372" w:type="dxa"/>
            <w:tcBorders>
              <w:left w:val="single" w:sz="4" w:space="0" w:color="auto"/>
              <w:right w:val="single" w:sz="4" w:space="0" w:color="auto"/>
            </w:tcBorders>
          </w:tcPr>
          <w:p w:rsidR="006158FF" w:rsidRPr="00C81C2E" w:rsidRDefault="006158FF" w:rsidP="00F0458B">
            <w:pPr>
              <w:pStyle w:val="Corpsdetexte"/>
              <w:jc w:val="center"/>
              <w:rPr>
                <w:sz w:val="16"/>
                <w:szCs w:val="16"/>
              </w:rPr>
            </w:pPr>
            <w:r w:rsidRPr="00C81C2E">
              <w:rPr>
                <w:sz w:val="16"/>
                <w:szCs w:val="16"/>
              </w:rPr>
              <w:t>Anglais</w:t>
            </w:r>
          </w:p>
        </w:tc>
        <w:tc>
          <w:tcPr>
            <w:tcW w:w="1413" w:type="dxa"/>
            <w:tcBorders>
              <w:left w:val="single" w:sz="4" w:space="0" w:color="auto"/>
            </w:tcBorders>
          </w:tcPr>
          <w:p w:rsidR="006158FF" w:rsidRPr="00C81C2E" w:rsidRDefault="006158FF" w:rsidP="00F0458B">
            <w:pPr>
              <w:pStyle w:val="Corpsdetexte"/>
              <w:jc w:val="center"/>
              <w:rPr>
                <w:sz w:val="16"/>
                <w:szCs w:val="16"/>
              </w:rPr>
            </w:pPr>
            <w:r w:rsidRPr="00C81C2E">
              <w:rPr>
                <w:sz w:val="16"/>
                <w:szCs w:val="16"/>
              </w:rPr>
              <w:t>Arabe</w:t>
            </w:r>
          </w:p>
        </w:tc>
      </w:tr>
      <w:tr w:rsidR="006158FF" w:rsidRPr="006158FF" w:rsidTr="00F0458B">
        <w:tc>
          <w:tcPr>
            <w:tcW w:w="1139" w:type="dxa"/>
          </w:tcPr>
          <w:p w:rsidR="006158FF" w:rsidRPr="00C81C2E" w:rsidRDefault="006158FF" w:rsidP="00F0458B">
            <w:pPr>
              <w:pStyle w:val="Corpsdetexte"/>
              <w:rPr>
                <w:sz w:val="20"/>
                <w:szCs w:val="19"/>
              </w:rPr>
            </w:pPr>
            <w:r w:rsidRPr="00C81C2E">
              <w:rPr>
                <w:sz w:val="20"/>
                <w:szCs w:val="19"/>
              </w:rPr>
              <w:t>Parents</w:t>
            </w:r>
          </w:p>
        </w:tc>
        <w:tc>
          <w:tcPr>
            <w:tcW w:w="1093" w:type="dxa"/>
            <w:tcBorders>
              <w:right w:val="single" w:sz="4" w:space="0" w:color="auto"/>
            </w:tcBorders>
          </w:tcPr>
          <w:p w:rsidR="006158FF" w:rsidRPr="000E65D9" w:rsidRDefault="006158FF" w:rsidP="00F0458B">
            <w:pPr>
              <w:pStyle w:val="Corpsdetexte"/>
              <w:jc w:val="center"/>
              <w:rPr>
                <w:sz w:val="20"/>
                <w:szCs w:val="20"/>
              </w:rPr>
            </w:pPr>
            <w:r>
              <w:rPr>
                <w:sz w:val="20"/>
                <w:szCs w:val="20"/>
              </w:rPr>
              <w:t>6.5%</w:t>
            </w:r>
          </w:p>
        </w:tc>
        <w:tc>
          <w:tcPr>
            <w:tcW w:w="1268" w:type="dxa"/>
            <w:tcBorders>
              <w:left w:val="single" w:sz="4" w:space="0" w:color="auto"/>
              <w:right w:val="single" w:sz="4" w:space="0" w:color="auto"/>
            </w:tcBorders>
          </w:tcPr>
          <w:p w:rsidR="006158FF" w:rsidRPr="000E65D9" w:rsidRDefault="006158FF" w:rsidP="00F0458B">
            <w:pPr>
              <w:pStyle w:val="Corpsdetexte"/>
              <w:jc w:val="center"/>
              <w:rPr>
                <w:sz w:val="20"/>
                <w:szCs w:val="20"/>
              </w:rPr>
            </w:pPr>
            <w:r>
              <w:rPr>
                <w:sz w:val="20"/>
                <w:szCs w:val="20"/>
              </w:rPr>
              <w:t>2.12%</w:t>
            </w:r>
          </w:p>
        </w:tc>
        <w:tc>
          <w:tcPr>
            <w:tcW w:w="895" w:type="dxa"/>
            <w:tcBorders>
              <w:left w:val="single" w:sz="4" w:space="0" w:color="auto"/>
            </w:tcBorders>
          </w:tcPr>
          <w:p w:rsidR="006158FF" w:rsidRPr="000E65D9" w:rsidRDefault="006158FF" w:rsidP="00F0458B">
            <w:pPr>
              <w:pStyle w:val="Corpsdetexte"/>
              <w:jc w:val="center"/>
              <w:rPr>
                <w:sz w:val="20"/>
                <w:szCs w:val="20"/>
              </w:rPr>
            </w:pPr>
            <w:r>
              <w:rPr>
                <w:sz w:val="20"/>
                <w:szCs w:val="20"/>
              </w:rPr>
              <w:t>91%</w:t>
            </w:r>
          </w:p>
        </w:tc>
        <w:tc>
          <w:tcPr>
            <w:tcW w:w="1256" w:type="dxa"/>
            <w:tcBorders>
              <w:right w:val="single" w:sz="4" w:space="0" w:color="auto"/>
            </w:tcBorders>
          </w:tcPr>
          <w:p w:rsidR="006158FF" w:rsidRPr="000E65D9" w:rsidRDefault="006158FF" w:rsidP="00F0458B">
            <w:pPr>
              <w:pStyle w:val="Corpsdetexte"/>
              <w:jc w:val="center"/>
              <w:rPr>
                <w:sz w:val="20"/>
                <w:szCs w:val="20"/>
              </w:rPr>
            </w:pPr>
            <w:r>
              <w:rPr>
                <w:sz w:val="20"/>
                <w:szCs w:val="20"/>
              </w:rPr>
              <w:t>11.18%</w:t>
            </w:r>
          </w:p>
        </w:tc>
        <w:tc>
          <w:tcPr>
            <w:tcW w:w="1372" w:type="dxa"/>
            <w:tcBorders>
              <w:left w:val="single" w:sz="4" w:space="0" w:color="auto"/>
              <w:right w:val="single" w:sz="4" w:space="0" w:color="auto"/>
            </w:tcBorders>
          </w:tcPr>
          <w:p w:rsidR="006158FF" w:rsidRPr="000E65D9" w:rsidRDefault="006158FF" w:rsidP="00F0458B">
            <w:pPr>
              <w:pStyle w:val="Corpsdetexte"/>
              <w:jc w:val="center"/>
              <w:rPr>
                <w:sz w:val="20"/>
                <w:szCs w:val="20"/>
              </w:rPr>
            </w:pPr>
            <w:r>
              <w:rPr>
                <w:sz w:val="20"/>
                <w:szCs w:val="20"/>
              </w:rPr>
              <w:t>1.92%</w:t>
            </w:r>
          </w:p>
        </w:tc>
        <w:tc>
          <w:tcPr>
            <w:tcW w:w="1413" w:type="dxa"/>
            <w:tcBorders>
              <w:left w:val="single" w:sz="4" w:space="0" w:color="auto"/>
            </w:tcBorders>
          </w:tcPr>
          <w:p w:rsidR="006158FF" w:rsidRPr="000E65D9" w:rsidRDefault="006158FF" w:rsidP="00F0458B">
            <w:pPr>
              <w:pStyle w:val="Corpsdetexte"/>
              <w:jc w:val="center"/>
              <w:rPr>
                <w:sz w:val="20"/>
                <w:szCs w:val="20"/>
              </w:rPr>
            </w:pPr>
            <w:r>
              <w:rPr>
                <w:sz w:val="20"/>
                <w:szCs w:val="20"/>
              </w:rPr>
              <w:t>87.25%</w:t>
            </w:r>
          </w:p>
        </w:tc>
      </w:tr>
      <w:tr w:rsidR="006158FF" w:rsidRPr="006158FF" w:rsidTr="00F0458B">
        <w:tc>
          <w:tcPr>
            <w:tcW w:w="1139" w:type="dxa"/>
          </w:tcPr>
          <w:p w:rsidR="006158FF" w:rsidRPr="00C81C2E" w:rsidRDefault="006158FF" w:rsidP="00F0458B">
            <w:pPr>
              <w:pStyle w:val="Corpsdetexte"/>
              <w:rPr>
                <w:sz w:val="20"/>
                <w:szCs w:val="19"/>
              </w:rPr>
            </w:pPr>
            <w:r w:rsidRPr="00C81C2E">
              <w:rPr>
                <w:sz w:val="20"/>
                <w:szCs w:val="19"/>
              </w:rPr>
              <w:t>Fratrie</w:t>
            </w:r>
          </w:p>
        </w:tc>
        <w:tc>
          <w:tcPr>
            <w:tcW w:w="1093" w:type="dxa"/>
            <w:tcBorders>
              <w:right w:val="single" w:sz="4" w:space="0" w:color="auto"/>
            </w:tcBorders>
          </w:tcPr>
          <w:p w:rsidR="006158FF" w:rsidRPr="000E65D9" w:rsidRDefault="006158FF" w:rsidP="00F0458B">
            <w:pPr>
              <w:pStyle w:val="Corpsdetexte"/>
              <w:jc w:val="center"/>
              <w:rPr>
                <w:sz w:val="20"/>
                <w:szCs w:val="20"/>
              </w:rPr>
            </w:pPr>
            <w:r w:rsidRPr="00F90DB5">
              <w:rPr>
                <w:rFonts w:ascii="Arial" w:hAnsi="Arial" w:cs="Arial"/>
                <w:sz w:val="20"/>
                <w:szCs w:val="20"/>
                <w:lang w:val="en-US"/>
              </w:rPr>
              <w:t>19.65%</w:t>
            </w:r>
          </w:p>
        </w:tc>
        <w:tc>
          <w:tcPr>
            <w:tcW w:w="1268" w:type="dxa"/>
            <w:tcBorders>
              <w:left w:val="single" w:sz="4" w:space="0" w:color="auto"/>
              <w:right w:val="single" w:sz="4" w:space="0" w:color="auto"/>
            </w:tcBorders>
          </w:tcPr>
          <w:p w:rsidR="006158FF" w:rsidRPr="000E65D9" w:rsidRDefault="006158FF" w:rsidP="00F0458B">
            <w:pPr>
              <w:pStyle w:val="Corpsdetexte"/>
              <w:jc w:val="center"/>
              <w:rPr>
                <w:sz w:val="20"/>
                <w:szCs w:val="20"/>
              </w:rPr>
            </w:pPr>
            <w:r w:rsidRPr="00F90DB5">
              <w:rPr>
                <w:rFonts w:ascii="Arial" w:hAnsi="Arial" w:cs="Arial"/>
                <w:sz w:val="20"/>
                <w:szCs w:val="20"/>
                <w:lang w:val="en-US"/>
              </w:rPr>
              <w:t>7.02%</w:t>
            </w:r>
          </w:p>
        </w:tc>
        <w:tc>
          <w:tcPr>
            <w:tcW w:w="895" w:type="dxa"/>
            <w:tcBorders>
              <w:left w:val="single" w:sz="4" w:space="0" w:color="auto"/>
            </w:tcBorders>
          </w:tcPr>
          <w:p w:rsidR="006158FF" w:rsidRPr="000E65D9" w:rsidRDefault="006158FF" w:rsidP="00F0458B">
            <w:pPr>
              <w:pStyle w:val="Corpsdetexte"/>
              <w:jc w:val="center"/>
              <w:rPr>
                <w:sz w:val="20"/>
                <w:szCs w:val="20"/>
              </w:rPr>
            </w:pPr>
            <w:r w:rsidRPr="00F90DB5">
              <w:rPr>
                <w:rFonts w:ascii="Arial" w:hAnsi="Arial" w:cs="Arial"/>
                <w:sz w:val="20"/>
                <w:szCs w:val="20"/>
                <w:lang w:val="en-US"/>
              </w:rPr>
              <w:t>73.33%</w:t>
            </w:r>
          </w:p>
        </w:tc>
        <w:tc>
          <w:tcPr>
            <w:tcW w:w="1256" w:type="dxa"/>
            <w:tcBorders>
              <w:right w:val="single" w:sz="4" w:space="0" w:color="auto"/>
            </w:tcBorders>
          </w:tcPr>
          <w:p w:rsidR="006158FF" w:rsidRPr="000E65D9" w:rsidRDefault="006158FF" w:rsidP="00F0458B">
            <w:pPr>
              <w:pStyle w:val="Corpsdetexte"/>
              <w:jc w:val="center"/>
              <w:rPr>
                <w:sz w:val="20"/>
                <w:szCs w:val="20"/>
              </w:rPr>
            </w:pPr>
            <w:r w:rsidRPr="00F90DB5">
              <w:rPr>
                <w:rFonts w:ascii="Arial" w:hAnsi="Arial" w:cs="Arial"/>
                <w:sz w:val="20"/>
                <w:szCs w:val="20"/>
                <w:lang w:val="en-US"/>
              </w:rPr>
              <w:t>24.32%</w:t>
            </w:r>
          </w:p>
        </w:tc>
        <w:tc>
          <w:tcPr>
            <w:tcW w:w="1372" w:type="dxa"/>
            <w:tcBorders>
              <w:left w:val="single" w:sz="4" w:space="0" w:color="auto"/>
              <w:right w:val="single" w:sz="4" w:space="0" w:color="auto"/>
            </w:tcBorders>
          </w:tcPr>
          <w:p w:rsidR="006158FF" w:rsidRPr="000E65D9" w:rsidRDefault="006158FF" w:rsidP="00F0458B">
            <w:pPr>
              <w:pStyle w:val="Corpsdetexte"/>
              <w:jc w:val="center"/>
              <w:rPr>
                <w:sz w:val="20"/>
                <w:szCs w:val="20"/>
              </w:rPr>
            </w:pPr>
            <w:r w:rsidRPr="00F90DB5">
              <w:rPr>
                <w:rFonts w:ascii="Arial" w:hAnsi="Arial" w:cs="Arial"/>
                <w:sz w:val="20"/>
                <w:szCs w:val="20"/>
                <w:lang w:val="en-US"/>
              </w:rPr>
              <w:t>8.20%</w:t>
            </w:r>
          </w:p>
        </w:tc>
        <w:tc>
          <w:tcPr>
            <w:tcW w:w="1413" w:type="dxa"/>
            <w:tcBorders>
              <w:left w:val="single" w:sz="4" w:space="0" w:color="auto"/>
            </w:tcBorders>
          </w:tcPr>
          <w:p w:rsidR="006158FF" w:rsidRPr="000E65D9" w:rsidRDefault="006158FF" w:rsidP="00F0458B">
            <w:pPr>
              <w:pStyle w:val="Corpsdetexte"/>
              <w:jc w:val="center"/>
              <w:rPr>
                <w:sz w:val="20"/>
                <w:szCs w:val="20"/>
              </w:rPr>
            </w:pPr>
            <w:r w:rsidRPr="00F90DB5">
              <w:rPr>
                <w:rFonts w:ascii="Arial" w:hAnsi="Arial" w:cs="Arial"/>
                <w:sz w:val="20"/>
                <w:szCs w:val="20"/>
                <w:lang w:val="en-US"/>
              </w:rPr>
              <w:t>67.49%</w:t>
            </w:r>
          </w:p>
        </w:tc>
      </w:tr>
      <w:tr w:rsidR="006158FF" w:rsidRPr="006158FF" w:rsidTr="00F0458B">
        <w:tc>
          <w:tcPr>
            <w:tcW w:w="1139" w:type="dxa"/>
          </w:tcPr>
          <w:p w:rsidR="006158FF" w:rsidRPr="00C81C2E" w:rsidRDefault="006158FF" w:rsidP="00F0458B">
            <w:pPr>
              <w:pStyle w:val="Corpsdetexte"/>
              <w:rPr>
                <w:sz w:val="20"/>
                <w:szCs w:val="19"/>
              </w:rPr>
            </w:pPr>
            <w:r w:rsidRPr="00C81C2E">
              <w:rPr>
                <w:sz w:val="20"/>
                <w:szCs w:val="19"/>
              </w:rPr>
              <w:t xml:space="preserve">Amis </w:t>
            </w:r>
          </w:p>
        </w:tc>
        <w:tc>
          <w:tcPr>
            <w:tcW w:w="1093" w:type="dxa"/>
            <w:tcBorders>
              <w:right w:val="single" w:sz="4" w:space="0" w:color="auto"/>
            </w:tcBorders>
          </w:tcPr>
          <w:p w:rsidR="006158FF" w:rsidRPr="000E65D9" w:rsidRDefault="006158FF" w:rsidP="00F0458B">
            <w:pPr>
              <w:pStyle w:val="Corpsdetexte"/>
              <w:jc w:val="center"/>
              <w:rPr>
                <w:sz w:val="20"/>
                <w:szCs w:val="20"/>
              </w:rPr>
            </w:pPr>
            <w:r w:rsidRPr="004D7CBA">
              <w:rPr>
                <w:rFonts w:ascii="Arial" w:hAnsi="Arial" w:cs="Arial"/>
                <w:sz w:val="20"/>
                <w:szCs w:val="20"/>
                <w:lang w:val="en-US"/>
              </w:rPr>
              <w:t>19.29%</w:t>
            </w:r>
          </w:p>
        </w:tc>
        <w:tc>
          <w:tcPr>
            <w:tcW w:w="1268" w:type="dxa"/>
            <w:tcBorders>
              <w:left w:val="single" w:sz="4" w:space="0" w:color="auto"/>
              <w:right w:val="single" w:sz="4" w:space="0" w:color="auto"/>
            </w:tcBorders>
          </w:tcPr>
          <w:p w:rsidR="006158FF" w:rsidRPr="000E65D9" w:rsidRDefault="006158FF" w:rsidP="00F0458B">
            <w:pPr>
              <w:pStyle w:val="Corpsdetexte"/>
              <w:jc w:val="center"/>
              <w:rPr>
                <w:sz w:val="20"/>
                <w:szCs w:val="20"/>
              </w:rPr>
            </w:pPr>
            <w:r w:rsidRPr="004D7CBA">
              <w:rPr>
                <w:rFonts w:ascii="Arial" w:hAnsi="Arial" w:cs="Arial"/>
                <w:sz w:val="20"/>
                <w:szCs w:val="20"/>
                <w:lang w:val="en-US"/>
              </w:rPr>
              <w:t>6.07%</w:t>
            </w:r>
          </w:p>
        </w:tc>
        <w:tc>
          <w:tcPr>
            <w:tcW w:w="895" w:type="dxa"/>
            <w:tcBorders>
              <w:left w:val="single" w:sz="4" w:space="0" w:color="auto"/>
            </w:tcBorders>
          </w:tcPr>
          <w:p w:rsidR="006158FF" w:rsidRPr="000E65D9" w:rsidRDefault="006158FF" w:rsidP="00F0458B">
            <w:pPr>
              <w:pStyle w:val="Corpsdetexte"/>
              <w:jc w:val="center"/>
              <w:rPr>
                <w:sz w:val="20"/>
                <w:szCs w:val="20"/>
              </w:rPr>
            </w:pPr>
            <w:r w:rsidRPr="004D7CBA">
              <w:rPr>
                <w:rFonts w:ascii="Arial" w:hAnsi="Arial" w:cs="Arial"/>
                <w:sz w:val="20"/>
                <w:szCs w:val="20"/>
                <w:lang w:val="en-US"/>
              </w:rPr>
              <w:t>74.64%</w:t>
            </w:r>
          </w:p>
        </w:tc>
        <w:tc>
          <w:tcPr>
            <w:tcW w:w="1256" w:type="dxa"/>
            <w:tcBorders>
              <w:right w:val="single" w:sz="4" w:space="0" w:color="auto"/>
            </w:tcBorders>
          </w:tcPr>
          <w:p w:rsidR="006158FF" w:rsidRPr="000E65D9" w:rsidRDefault="006158FF" w:rsidP="00F0458B">
            <w:pPr>
              <w:pStyle w:val="Corpsdetexte"/>
              <w:jc w:val="center"/>
              <w:rPr>
                <w:sz w:val="20"/>
                <w:szCs w:val="20"/>
              </w:rPr>
            </w:pPr>
            <w:r w:rsidRPr="004D7CBA">
              <w:rPr>
                <w:rFonts w:ascii="Arial" w:hAnsi="Arial" w:cs="Arial"/>
                <w:sz w:val="20"/>
                <w:szCs w:val="20"/>
                <w:lang w:val="en-US"/>
              </w:rPr>
              <w:t>19.94%</w:t>
            </w:r>
          </w:p>
        </w:tc>
        <w:tc>
          <w:tcPr>
            <w:tcW w:w="1372" w:type="dxa"/>
            <w:tcBorders>
              <w:left w:val="single" w:sz="4" w:space="0" w:color="auto"/>
              <w:right w:val="single" w:sz="4" w:space="0" w:color="auto"/>
            </w:tcBorders>
          </w:tcPr>
          <w:p w:rsidR="006158FF" w:rsidRPr="000E65D9" w:rsidRDefault="006158FF" w:rsidP="00F0458B">
            <w:pPr>
              <w:pStyle w:val="Corpsdetexte"/>
              <w:jc w:val="center"/>
              <w:rPr>
                <w:sz w:val="20"/>
                <w:szCs w:val="20"/>
              </w:rPr>
            </w:pPr>
            <w:r w:rsidRPr="004D7CBA">
              <w:rPr>
                <w:rFonts w:ascii="Arial" w:hAnsi="Arial" w:cs="Arial"/>
                <w:sz w:val="20"/>
                <w:szCs w:val="20"/>
                <w:lang w:val="en-US"/>
              </w:rPr>
              <w:t>10.83%</w:t>
            </w:r>
          </w:p>
        </w:tc>
        <w:tc>
          <w:tcPr>
            <w:tcW w:w="1413" w:type="dxa"/>
            <w:tcBorders>
              <w:left w:val="single" w:sz="4" w:space="0" w:color="auto"/>
            </w:tcBorders>
          </w:tcPr>
          <w:p w:rsidR="006158FF" w:rsidRPr="000E65D9" w:rsidRDefault="006158FF" w:rsidP="00F0458B">
            <w:pPr>
              <w:pStyle w:val="Corpsdetexte"/>
              <w:jc w:val="center"/>
              <w:rPr>
                <w:sz w:val="20"/>
                <w:szCs w:val="20"/>
              </w:rPr>
            </w:pPr>
            <w:r w:rsidRPr="004D7CBA">
              <w:rPr>
                <w:rFonts w:ascii="Arial" w:hAnsi="Arial" w:cs="Arial"/>
                <w:sz w:val="20"/>
                <w:szCs w:val="20"/>
                <w:lang w:val="en-US"/>
              </w:rPr>
              <w:t>69.23%</w:t>
            </w:r>
          </w:p>
        </w:tc>
      </w:tr>
      <w:tr w:rsidR="006158FF" w:rsidRPr="006158FF" w:rsidTr="00F0458B">
        <w:tc>
          <w:tcPr>
            <w:tcW w:w="1139" w:type="dxa"/>
          </w:tcPr>
          <w:p w:rsidR="006158FF" w:rsidRPr="00C81C2E" w:rsidRDefault="006158FF" w:rsidP="00F0458B">
            <w:pPr>
              <w:pStyle w:val="Corpsdetexte"/>
              <w:rPr>
                <w:sz w:val="20"/>
                <w:szCs w:val="19"/>
              </w:rPr>
            </w:pPr>
            <w:r w:rsidRPr="00C81C2E">
              <w:rPr>
                <w:sz w:val="20"/>
                <w:szCs w:val="19"/>
              </w:rPr>
              <w:t>Professeurs</w:t>
            </w:r>
          </w:p>
        </w:tc>
        <w:tc>
          <w:tcPr>
            <w:tcW w:w="1093" w:type="dxa"/>
            <w:tcBorders>
              <w:right w:val="single" w:sz="4" w:space="0" w:color="auto"/>
            </w:tcBorders>
          </w:tcPr>
          <w:p w:rsidR="006158FF" w:rsidRPr="000E65D9" w:rsidRDefault="006158FF" w:rsidP="00F0458B">
            <w:pPr>
              <w:pStyle w:val="Corpsdetexte"/>
              <w:jc w:val="center"/>
              <w:rPr>
                <w:sz w:val="20"/>
                <w:szCs w:val="20"/>
              </w:rPr>
            </w:pPr>
            <w:r w:rsidRPr="008B1607">
              <w:rPr>
                <w:rFonts w:ascii="Arial" w:hAnsi="Arial" w:cs="Arial"/>
                <w:sz w:val="20"/>
                <w:szCs w:val="20"/>
                <w:lang w:val="en-US"/>
              </w:rPr>
              <w:t>67.54%</w:t>
            </w:r>
          </w:p>
        </w:tc>
        <w:tc>
          <w:tcPr>
            <w:tcW w:w="1268" w:type="dxa"/>
            <w:tcBorders>
              <w:left w:val="single" w:sz="4" w:space="0" w:color="auto"/>
              <w:right w:val="single" w:sz="4" w:space="0" w:color="auto"/>
            </w:tcBorders>
          </w:tcPr>
          <w:p w:rsidR="006158FF" w:rsidRPr="000E65D9" w:rsidRDefault="006158FF" w:rsidP="00F0458B">
            <w:pPr>
              <w:pStyle w:val="Corpsdetexte"/>
              <w:jc w:val="center"/>
              <w:rPr>
                <w:sz w:val="20"/>
                <w:szCs w:val="20"/>
                <w:lang w:val="de-DE"/>
              </w:rPr>
            </w:pPr>
            <w:r w:rsidRPr="008B1607">
              <w:rPr>
                <w:rFonts w:ascii="Arial" w:hAnsi="Arial" w:cs="Arial"/>
                <w:sz w:val="20"/>
                <w:szCs w:val="20"/>
                <w:lang w:val="en-US"/>
              </w:rPr>
              <w:t>1.12%</w:t>
            </w:r>
          </w:p>
        </w:tc>
        <w:tc>
          <w:tcPr>
            <w:tcW w:w="895" w:type="dxa"/>
            <w:tcBorders>
              <w:left w:val="single" w:sz="4" w:space="0" w:color="auto"/>
            </w:tcBorders>
          </w:tcPr>
          <w:p w:rsidR="006158FF" w:rsidRPr="000E65D9" w:rsidRDefault="006158FF" w:rsidP="00F0458B">
            <w:pPr>
              <w:pStyle w:val="Corpsdetexte"/>
              <w:jc w:val="center"/>
              <w:rPr>
                <w:sz w:val="20"/>
                <w:szCs w:val="20"/>
              </w:rPr>
            </w:pPr>
            <w:r w:rsidRPr="008B1607">
              <w:rPr>
                <w:rFonts w:ascii="Arial" w:hAnsi="Arial" w:cs="Arial"/>
                <w:sz w:val="20"/>
                <w:szCs w:val="20"/>
                <w:lang w:val="en-US"/>
              </w:rPr>
              <w:t>31.34%</w:t>
            </w:r>
          </w:p>
        </w:tc>
        <w:tc>
          <w:tcPr>
            <w:tcW w:w="1256" w:type="dxa"/>
            <w:tcBorders>
              <w:right w:val="single" w:sz="4" w:space="0" w:color="auto"/>
            </w:tcBorders>
          </w:tcPr>
          <w:p w:rsidR="006158FF" w:rsidRPr="000E65D9" w:rsidRDefault="006158FF" w:rsidP="00F0458B">
            <w:pPr>
              <w:pStyle w:val="Corpsdetexte"/>
              <w:jc w:val="center"/>
              <w:rPr>
                <w:sz w:val="20"/>
                <w:szCs w:val="20"/>
              </w:rPr>
            </w:pPr>
            <w:r w:rsidRPr="008B1607">
              <w:rPr>
                <w:rFonts w:ascii="Arial" w:hAnsi="Arial" w:cs="Arial"/>
                <w:sz w:val="20"/>
                <w:szCs w:val="20"/>
                <w:lang w:val="en-US"/>
              </w:rPr>
              <w:t>59.03%</w:t>
            </w:r>
          </w:p>
        </w:tc>
        <w:tc>
          <w:tcPr>
            <w:tcW w:w="1372" w:type="dxa"/>
            <w:tcBorders>
              <w:left w:val="single" w:sz="4" w:space="0" w:color="auto"/>
              <w:right w:val="single" w:sz="4" w:space="0" w:color="auto"/>
            </w:tcBorders>
          </w:tcPr>
          <w:p w:rsidR="006158FF" w:rsidRPr="000E65D9" w:rsidRDefault="006158FF" w:rsidP="00F0458B">
            <w:pPr>
              <w:pStyle w:val="Corpsdetexte"/>
              <w:jc w:val="center"/>
              <w:rPr>
                <w:sz w:val="20"/>
                <w:szCs w:val="20"/>
              </w:rPr>
            </w:pPr>
            <w:r w:rsidRPr="008B1607">
              <w:rPr>
                <w:rFonts w:ascii="Arial" w:hAnsi="Arial" w:cs="Arial"/>
                <w:sz w:val="20"/>
                <w:szCs w:val="20"/>
                <w:lang w:val="en-US"/>
              </w:rPr>
              <w:t>8.65%</w:t>
            </w:r>
          </w:p>
        </w:tc>
        <w:tc>
          <w:tcPr>
            <w:tcW w:w="1413" w:type="dxa"/>
            <w:tcBorders>
              <w:left w:val="single" w:sz="4" w:space="0" w:color="auto"/>
            </w:tcBorders>
          </w:tcPr>
          <w:p w:rsidR="006158FF" w:rsidRPr="000E65D9" w:rsidRDefault="006158FF" w:rsidP="00F0458B">
            <w:pPr>
              <w:pStyle w:val="Corpsdetexte"/>
              <w:jc w:val="center"/>
              <w:rPr>
                <w:sz w:val="20"/>
                <w:szCs w:val="20"/>
              </w:rPr>
            </w:pPr>
            <w:r w:rsidRPr="008B1607">
              <w:rPr>
                <w:rFonts w:ascii="Arial" w:hAnsi="Arial" w:cs="Arial"/>
                <w:sz w:val="20"/>
                <w:szCs w:val="20"/>
                <w:lang w:val="en-US"/>
              </w:rPr>
              <w:t>32.32%</w:t>
            </w:r>
          </w:p>
        </w:tc>
      </w:tr>
      <w:tr w:rsidR="006158FF" w:rsidRPr="006158FF" w:rsidTr="00F0458B">
        <w:tc>
          <w:tcPr>
            <w:tcW w:w="1139" w:type="dxa"/>
          </w:tcPr>
          <w:p w:rsidR="006158FF" w:rsidRPr="00C81C2E" w:rsidRDefault="006158FF" w:rsidP="00F0458B">
            <w:pPr>
              <w:pStyle w:val="Corpsdetexte"/>
              <w:rPr>
                <w:sz w:val="20"/>
                <w:szCs w:val="19"/>
              </w:rPr>
            </w:pPr>
            <w:r>
              <w:rPr>
                <w:sz w:val="20"/>
                <w:szCs w:val="19"/>
              </w:rPr>
              <w:t xml:space="preserve">Camarades </w:t>
            </w:r>
          </w:p>
        </w:tc>
        <w:tc>
          <w:tcPr>
            <w:tcW w:w="1093" w:type="dxa"/>
            <w:tcBorders>
              <w:right w:val="single" w:sz="4" w:space="0" w:color="auto"/>
            </w:tcBorders>
          </w:tcPr>
          <w:p w:rsidR="006158FF" w:rsidRPr="008B1607" w:rsidRDefault="006158FF" w:rsidP="00F0458B">
            <w:pPr>
              <w:pStyle w:val="Corpsdetexte"/>
              <w:jc w:val="center"/>
              <w:rPr>
                <w:rFonts w:ascii="Arial" w:hAnsi="Arial" w:cs="Arial"/>
                <w:sz w:val="20"/>
                <w:szCs w:val="20"/>
                <w:lang w:val="en-US"/>
              </w:rPr>
            </w:pPr>
            <w:r w:rsidRPr="00B534D1">
              <w:rPr>
                <w:rFonts w:ascii="Arial" w:hAnsi="Arial" w:cs="Arial"/>
                <w:sz w:val="20"/>
                <w:szCs w:val="20"/>
                <w:lang w:val="en-US"/>
              </w:rPr>
              <w:t>16.36%</w:t>
            </w:r>
          </w:p>
        </w:tc>
        <w:tc>
          <w:tcPr>
            <w:tcW w:w="1268" w:type="dxa"/>
            <w:tcBorders>
              <w:left w:val="single" w:sz="4" w:space="0" w:color="auto"/>
              <w:right w:val="single" w:sz="4" w:space="0" w:color="auto"/>
            </w:tcBorders>
          </w:tcPr>
          <w:p w:rsidR="006158FF" w:rsidRPr="008B1607" w:rsidRDefault="006158FF" w:rsidP="00F0458B">
            <w:pPr>
              <w:pStyle w:val="Corpsdetexte"/>
              <w:jc w:val="center"/>
              <w:rPr>
                <w:rFonts w:ascii="Arial" w:hAnsi="Arial" w:cs="Arial"/>
                <w:sz w:val="20"/>
                <w:szCs w:val="20"/>
                <w:lang w:val="en-US"/>
              </w:rPr>
            </w:pPr>
            <w:r w:rsidRPr="00B534D1">
              <w:rPr>
                <w:rFonts w:ascii="Arial" w:hAnsi="Arial" w:cs="Arial"/>
                <w:sz w:val="20"/>
                <w:szCs w:val="20"/>
                <w:lang w:val="en-US"/>
              </w:rPr>
              <w:t>6.32%</w:t>
            </w:r>
          </w:p>
        </w:tc>
        <w:tc>
          <w:tcPr>
            <w:tcW w:w="895" w:type="dxa"/>
            <w:tcBorders>
              <w:left w:val="single" w:sz="4" w:space="0" w:color="auto"/>
            </w:tcBorders>
          </w:tcPr>
          <w:p w:rsidR="006158FF" w:rsidRPr="008B1607" w:rsidRDefault="006158FF" w:rsidP="00F0458B">
            <w:pPr>
              <w:pStyle w:val="Corpsdetexte"/>
              <w:jc w:val="center"/>
              <w:rPr>
                <w:rFonts w:ascii="Arial" w:hAnsi="Arial" w:cs="Arial"/>
                <w:sz w:val="20"/>
                <w:szCs w:val="20"/>
                <w:lang w:val="en-US"/>
              </w:rPr>
            </w:pPr>
            <w:r w:rsidRPr="00B534D1">
              <w:rPr>
                <w:rFonts w:ascii="Arial" w:hAnsi="Arial" w:cs="Arial"/>
                <w:sz w:val="20"/>
                <w:szCs w:val="20"/>
                <w:lang w:val="en-US"/>
              </w:rPr>
              <w:t>77.32%</w:t>
            </w:r>
          </w:p>
        </w:tc>
        <w:tc>
          <w:tcPr>
            <w:tcW w:w="1256" w:type="dxa"/>
            <w:tcBorders>
              <w:right w:val="single" w:sz="4" w:space="0" w:color="auto"/>
            </w:tcBorders>
          </w:tcPr>
          <w:p w:rsidR="006158FF" w:rsidRPr="008B1607" w:rsidRDefault="006158FF" w:rsidP="00F0458B">
            <w:pPr>
              <w:pStyle w:val="Corpsdetexte"/>
              <w:jc w:val="center"/>
              <w:rPr>
                <w:rFonts w:ascii="Arial" w:hAnsi="Arial" w:cs="Arial"/>
                <w:sz w:val="20"/>
                <w:szCs w:val="20"/>
                <w:lang w:val="en-US"/>
              </w:rPr>
            </w:pPr>
            <w:r w:rsidRPr="00B534D1">
              <w:rPr>
                <w:rFonts w:ascii="Arial" w:hAnsi="Arial" w:cs="Arial"/>
                <w:sz w:val="20"/>
                <w:szCs w:val="20"/>
                <w:lang w:val="en-US"/>
              </w:rPr>
              <w:t>17.23%</w:t>
            </w:r>
          </w:p>
        </w:tc>
        <w:tc>
          <w:tcPr>
            <w:tcW w:w="1372" w:type="dxa"/>
            <w:tcBorders>
              <w:left w:val="single" w:sz="4" w:space="0" w:color="auto"/>
              <w:right w:val="single" w:sz="4" w:space="0" w:color="auto"/>
            </w:tcBorders>
          </w:tcPr>
          <w:p w:rsidR="006158FF" w:rsidRPr="008B1607" w:rsidRDefault="006158FF" w:rsidP="00F0458B">
            <w:pPr>
              <w:pStyle w:val="Corpsdetexte"/>
              <w:jc w:val="center"/>
              <w:rPr>
                <w:rFonts w:ascii="Arial" w:hAnsi="Arial" w:cs="Arial"/>
                <w:sz w:val="20"/>
                <w:szCs w:val="20"/>
                <w:lang w:val="en-US"/>
              </w:rPr>
            </w:pPr>
            <w:r w:rsidRPr="00B534D1">
              <w:rPr>
                <w:rFonts w:ascii="Arial" w:hAnsi="Arial" w:cs="Arial"/>
                <w:sz w:val="20"/>
                <w:szCs w:val="20"/>
                <w:lang w:val="en-US"/>
              </w:rPr>
              <w:t>5.93%</w:t>
            </w:r>
          </w:p>
        </w:tc>
        <w:tc>
          <w:tcPr>
            <w:tcW w:w="1413" w:type="dxa"/>
            <w:tcBorders>
              <w:left w:val="single" w:sz="4" w:space="0" w:color="auto"/>
            </w:tcBorders>
          </w:tcPr>
          <w:p w:rsidR="006158FF" w:rsidRPr="008B1607" w:rsidRDefault="006158FF" w:rsidP="00F0458B">
            <w:pPr>
              <w:pStyle w:val="Corpsdetexte"/>
              <w:jc w:val="center"/>
              <w:rPr>
                <w:rFonts w:ascii="Arial" w:hAnsi="Arial" w:cs="Arial"/>
                <w:sz w:val="20"/>
                <w:szCs w:val="20"/>
                <w:lang w:val="en-US"/>
              </w:rPr>
            </w:pPr>
            <w:r w:rsidRPr="00B534D1">
              <w:rPr>
                <w:rFonts w:ascii="Arial" w:hAnsi="Arial" w:cs="Arial"/>
                <w:sz w:val="20"/>
                <w:szCs w:val="20"/>
                <w:lang w:val="en-US"/>
              </w:rPr>
              <w:t>76.84%</w:t>
            </w:r>
          </w:p>
        </w:tc>
      </w:tr>
    </w:tbl>
    <w:p w:rsidR="006158FF" w:rsidRDefault="006158FF" w:rsidP="006158FF">
      <w:pPr>
        <w:jc w:val="both"/>
      </w:pPr>
    </w:p>
    <w:p w:rsidR="006158FF" w:rsidRDefault="006158FF" w:rsidP="006158FF">
      <w:pPr>
        <w:jc w:val="both"/>
      </w:pPr>
      <w:r>
        <w:t xml:space="preserve">   Les étudiants de l’Université Libanaise pratiquent rarement le français (section 1 : 6.5%, section 2 : 11.18%) encore moins l’anglais avec leurs parents. Néanmoins, le recours au français augmente légèrement avec les frères et sœurs, (section 1 : 19.65%, section 2 : 24.32%) et entre amis (section : 19.29%, section 2 : 19.94%). Ce choix linguistique révèle une attitude plutôt favorable au français. En effet, si cette langue sert à faire des études et à communiquer avec les professeurs (section 1 : 67.54%, section 2 :59%), rien ne force des jeunes dont la langue maternelle est l’arabe dialectal, à opter pour le </w:t>
      </w:r>
      <w:r>
        <w:lastRenderedPageBreak/>
        <w:t xml:space="preserve">français dans le cadre de discussions privées. </w:t>
      </w:r>
    </w:p>
    <w:p w:rsidR="006158FF" w:rsidRDefault="006158FF" w:rsidP="006158FF">
      <w:pPr>
        <w:ind w:right="170"/>
        <w:jc w:val="both"/>
      </w:pPr>
    </w:p>
    <w:p w:rsidR="006158FF" w:rsidRDefault="006158FF" w:rsidP="006158FF">
      <w:pPr>
        <w:pStyle w:val="Corpsdetexte"/>
        <w:rPr>
          <w:szCs w:val="23"/>
          <w:u w:val="single"/>
        </w:rPr>
      </w:pPr>
      <w:r w:rsidRPr="00463CD5">
        <w:rPr>
          <w:szCs w:val="23"/>
        </w:rPr>
        <w:t>4.2</w:t>
      </w:r>
      <w:r>
        <w:rPr>
          <w:szCs w:val="23"/>
          <w:u w:val="single"/>
        </w:rPr>
        <w:t xml:space="preserve"> Choix de la (les) langue(s) pour …</w:t>
      </w:r>
    </w:p>
    <w:p w:rsidR="006158FF" w:rsidRDefault="006158FF" w:rsidP="006158FF">
      <w:pPr>
        <w:pStyle w:val="Corpsdetexte"/>
        <w:rPr>
          <w:szCs w:val="23"/>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850"/>
        <w:gridCol w:w="851"/>
        <w:gridCol w:w="850"/>
        <w:gridCol w:w="851"/>
        <w:gridCol w:w="850"/>
        <w:gridCol w:w="905"/>
      </w:tblGrid>
      <w:tr w:rsidR="006158FF" w:rsidRPr="006158FF" w:rsidTr="00F0458B">
        <w:tc>
          <w:tcPr>
            <w:tcW w:w="3227" w:type="dxa"/>
            <w:vMerge w:val="restart"/>
            <w:tcBorders>
              <w:right w:val="single" w:sz="4" w:space="0" w:color="auto"/>
            </w:tcBorders>
          </w:tcPr>
          <w:p w:rsidR="006158FF" w:rsidRPr="00AD593D" w:rsidRDefault="006158FF" w:rsidP="00F0458B">
            <w:pPr>
              <w:pStyle w:val="Corpsdetexte"/>
              <w:rPr>
                <w:sz w:val="18"/>
                <w:szCs w:val="18"/>
                <w:u w:val="single"/>
              </w:rPr>
            </w:pPr>
          </w:p>
        </w:tc>
        <w:tc>
          <w:tcPr>
            <w:tcW w:w="2551" w:type="dxa"/>
            <w:gridSpan w:val="3"/>
            <w:tcBorders>
              <w:right w:val="single" w:sz="4" w:space="0" w:color="auto"/>
            </w:tcBorders>
          </w:tcPr>
          <w:p w:rsidR="006158FF" w:rsidRPr="00AD593D" w:rsidRDefault="006158FF" w:rsidP="00F0458B">
            <w:pPr>
              <w:pStyle w:val="Corpsdetexte"/>
              <w:jc w:val="center"/>
              <w:rPr>
                <w:b/>
                <w:sz w:val="18"/>
                <w:szCs w:val="18"/>
              </w:rPr>
            </w:pPr>
            <w:r w:rsidRPr="00AD593D">
              <w:rPr>
                <w:b/>
                <w:sz w:val="18"/>
                <w:szCs w:val="18"/>
              </w:rPr>
              <w:t>Section 1</w:t>
            </w:r>
          </w:p>
        </w:tc>
        <w:tc>
          <w:tcPr>
            <w:tcW w:w="2606" w:type="dxa"/>
            <w:gridSpan w:val="3"/>
            <w:tcBorders>
              <w:left w:val="single" w:sz="4" w:space="0" w:color="auto"/>
            </w:tcBorders>
          </w:tcPr>
          <w:p w:rsidR="006158FF" w:rsidRPr="00AD593D" w:rsidRDefault="006158FF" w:rsidP="00F0458B">
            <w:pPr>
              <w:pStyle w:val="Corpsdetexte"/>
              <w:jc w:val="center"/>
              <w:rPr>
                <w:b/>
                <w:sz w:val="18"/>
                <w:szCs w:val="18"/>
              </w:rPr>
            </w:pPr>
            <w:r w:rsidRPr="00AD593D">
              <w:rPr>
                <w:b/>
                <w:sz w:val="18"/>
                <w:szCs w:val="18"/>
              </w:rPr>
              <w:t>Section 2</w:t>
            </w:r>
          </w:p>
        </w:tc>
      </w:tr>
      <w:tr w:rsidR="006158FF" w:rsidRPr="006158FF" w:rsidTr="00F0458B">
        <w:tc>
          <w:tcPr>
            <w:tcW w:w="3227" w:type="dxa"/>
            <w:vMerge/>
            <w:tcBorders>
              <w:right w:val="single" w:sz="4" w:space="0" w:color="auto"/>
            </w:tcBorders>
          </w:tcPr>
          <w:p w:rsidR="006158FF" w:rsidRPr="00AD593D" w:rsidRDefault="006158FF" w:rsidP="00F0458B">
            <w:pPr>
              <w:pStyle w:val="Corpsdetexte"/>
              <w:rPr>
                <w:sz w:val="18"/>
                <w:szCs w:val="18"/>
              </w:rPr>
            </w:pPr>
          </w:p>
        </w:tc>
        <w:tc>
          <w:tcPr>
            <w:tcW w:w="850" w:type="dxa"/>
            <w:tcBorders>
              <w:right w:val="single" w:sz="4" w:space="0" w:color="auto"/>
            </w:tcBorders>
          </w:tcPr>
          <w:p w:rsidR="006158FF" w:rsidRPr="00AD593D" w:rsidRDefault="006158FF" w:rsidP="00F0458B">
            <w:pPr>
              <w:pStyle w:val="Corpsdetexte"/>
              <w:jc w:val="center"/>
              <w:rPr>
                <w:sz w:val="18"/>
                <w:szCs w:val="18"/>
              </w:rPr>
            </w:pPr>
            <w:r w:rsidRPr="00AD593D">
              <w:rPr>
                <w:sz w:val="18"/>
                <w:szCs w:val="18"/>
              </w:rPr>
              <w:t>français</w:t>
            </w:r>
          </w:p>
        </w:tc>
        <w:tc>
          <w:tcPr>
            <w:tcW w:w="851" w:type="dxa"/>
            <w:tcBorders>
              <w:right w:val="single" w:sz="4" w:space="0" w:color="auto"/>
            </w:tcBorders>
          </w:tcPr>
          <w:p w:rsidR="006158FF" w:rsidRPr="00AD593D" w:rsidRDefault="006158FF" w:rsidP="00F0458B">
            <w:pPr>
              <w:pStyle w:val="Corpsdetexte"/>
              <w:jc w:val="center"/>
              <w:rPr>
                <w:sz w:val="18"/>
                <w:szCs w:val="18"/>
              </w:rPr>
            </w:pPr>
            <w:r w:rsidRPr="00AD593D">
              <w:rPr>
                <w:sz w:val="18"/>
                <w:szCs w:val="18"/>
              </w:rPr>
              <w:t>anglais</w:t>
            </w:r>
          </w:p>
        </w:tc>
        <w:tc>
          <w:tcPr>
            <w:tcW w:w="850" w:type="dxa"/>
            <w:tcBorders>
              <w:right w:val="single" w:sz="4" w:space="0" w:color="auto"/>
            </w:tcBorders>
          </w:tcPr>
          <w:p w:rsidR="006158FF" w:rsidRPr="00AD593D" w:rsidRDefault="006158FF" w:rsidP="00F0458B">
            <w:pPr>
              <w:pStyle w:val="Corpsdetexte"/>
              <w:jc w:val="center"/>
              <w:rPr>
                <w:sz w:val="18"/>
                <w:szCs w:val="18"/>
                <w:u w:val="single"/>
              </w:rPr>
            </w:pPr>
            <w:r w:rsidRPr="00AD593D">
              <w:rPr>
                <w:sz w:val="18"/>
                <w:szCs w:val="18"/>
              </w:rPr>
              <w:t>arabe</w:t>
            </w:r>
          </w:p>
        </w:tc>
        <w:tc>
          <w:tcPr>
            <w:tcW w:w="851" w:type="dxa"/>
            <w:tcBorders>
              <w:left w:val="single" w:sz="4" w:space="0" w:color="auto"/>
              <w:right w:val="single" w:sz="4" w:space="0" w:color="auto"/>
            </w:tcBorders>
          </w:tcPr>
          <w:p w:rsidR="006158FF" w:rsidRPr="00AD593D" w:rsidRDefault="006158FF" w:rsidP="00F0458B">
            <w:pPr>
              <w:pStyle w:val="Corpsdetexte"/>
              <w:jc w:val="center"/>
              <w:rPr>
                <w:sz w:val="18"/>
                <w:szCs w:val="18"/>
              </w:rPr>
            </w:pPr>
            <w:r w:rsidRPr="00AD593D">
              <w:rPr>
                <w:sz w:val="18"/>
                <w:szCs w:val="18"/>
              </w:rPr>
              <w:t>français</w:t>
            </w:r>
          </w:p>
        </w:tc>
        <w:tc>
          <w:tcPr>
            <w:tcW w:w="850" w:type="dxa"/>
            <w:tcBorders>
              <w:left w:val="single" w:sz="4" w:space="0" w:color="auto"/>
              <w:right w:val="single" w:sz="4" w:space="0" w:color="auto"/>
            </w:tcBorders>
          </w:tcPr>
          <w:p w:rsidR="006158FF" w:rsidRPr="00AD593D" w:rsidRDefault="006158FF" w:rsidP="00F0458B">
            <w:pPr>
              <w:pStyle w:val="Corpsdetexte"/>
              <w:jc w:val="center"/>
              <w:rPr>
                <w:sz w:val="18"/>
                <w:szCs w:val="18"/>
              </w:rPr>
            </w:pPr>
            <w:r w:rsidRPr="00AD593D">
              <w:rPr>
                <w:sz w:val="18"/>
                <w:szCs w:val="18"/>
              </w:rPr>
              <w:t>anglais</w:t>
            </w:r>
          </w:p>
        </w:tc>
        <w:tc>
          <w:tcPr>
            <w:tcW w:w="905" w:type="dxa"/>
            <w:tcBorders>
              <w:left w:val="single" w:sz="4" w:space="0" w:color="auto"/>
            </w:tcBorders>
          </w:tcPr>
          <w:p w:rsidR="006158FF" w:rsidRPr="00AD593D" w:rsidRDefault="006158FF" w:rsidP="00F0458B">
            <w:pPr>
              <w:pStyle w:val="Corpsdetexte"/>
              <w:jc w:val="center"/>
              <w:rPr>
                <w:sz w:val="18"/>
                <w:szCs w:val="18"/>
                <w:u w:val="single"/>
              </w:rPr>
            </w:pPr>
            <w:r w:rsidRPr="00AD593D">
              <w:rPr>
                <w:sz w:val="18"/>
                <w:szCs w:val="18"/>
              </w:rPr>
              <w:t>arabe</w:t>
            </w:r>
          </w:p>
        </w:tc>
      </w:tr>
      <w:tr w:rsidR="006158FF" w:rsidRPr="006158FF" w:rsidTr="00F0458B">
        <w:tc>
          <w:tcPr>
            <w:tcW w:w="3227" w:type="dxa"/>
            <w:tcBorders>
              <w:right w:val="single" w:sz="4" w:space="0" w:color="auto"/>
            </w:tcBorders>
          </w:tcPr>
          <w:p w:rsidR="006158FF" w:rsidRPr="00AD593D" w:rsidRDefault="006158FF" w:rsidP="00F0458B">
            <w:pPr>
              <w:pStyle w:val="Corpsdetexte"/>
              <w:rPr>
                <w:sz w:val="18"/>
                <w:szCs w:val="18"/>
              </w:rPr>
            </w:pPr>
            <w:r w:rsidRPr="00AD593D">
              <w:rPr>
                <w:sz w:val="18"/>
                <w:szCs w:val="18"/>
              </w:rPr>
              <w:t>- consulter  des ouvrages spécialisés</w:t>
            </w:r>
          </w:p>
        </w:tc>
        <w:tc>
          <w:tcPr>
            <w:tcW w:w="850" w:type="dxa"/>
            <w:tcBorders>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50.53%</w:t>
            </w:r>
          </w:p>
        </w:tc>
        <w:tc>
          <w:tcPr>
            <w:tcW w:w="851" w:type="dxa"/>
            <w:tcBorders>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9.25%</w:t>
            </w:r>
          </w:p>
        </w:tc>
        <w:tc>
          <w:tcPr>
            <w:tcW w:w="850" w:type="dxa"/>
            <w:tcBorders>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40.22%</w:t>
            </w:r>
          </w:p>
        </w:tc>
        <w:tc>
          <w:tcPr>
            <w:tcW w:w="851" w:type="dxa"/>
            <w:tcBorders>
              <w:left w:val="single" w:sz="4" w:space="0" w:color="auto"/>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59.25%</w:t>
            </w:r>
          </w:p>
        </w:tc>
        <w:tc>
          <w:tcPr>
            <w:tcW w:w="850" w:type="dxa"/>
            <w:tcBorders>
              <w:left w:val="single" w:sz="4" w:space="0" w:color="auto"/>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16.35%</w:t>
            </w:r>
          </w:p>
        </w:tc>
        <w:tc>
          <w:tcPr>
            <w:tcW w:w="905" w:type="dxa"/>
            <w:tcBorders>
              <w:lef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24.40%</w:t>
            </w:r>
          </w:p>
        </w:tc>
      </w:tr>
      <w:tr w:rsidR="006158FF" w:rsidRPr="006158FF" w:rsidTr="00F0458B">
        <w:tc>
          <w:tcPr>
            <w:tcW w:w="3227" w:type="dxa"/>
            <w:tcBorders>
              <w:right w:val="single" w:sz="4" w:space="0" w:color="auto"/>
            </w:tcBorders>
          </w:tcPr>
          <w:p w:rsidR="006158FF" w:rsidRPr="00AD593D" w:rsidRDefault="006158FF" w:rsidP="00F0458B">
            <w:pPr>
              <w:pStyle w:val="Corpsdetexte"/>
              <w:rPr>
                <w:sz w:val="18"/>
                <w:szCs w:val="18"/>
              </w:rPr>
            </w:pPr>
            <w:r w:rsidRPr="00AD593D">
              <w:rPr>
                <w:sz w:val="18"/>
                <w:szCs w:val="18"/>
                <w:lang w:bidi="ar-LB"/>
              </w:rPr>
              <w:t>- prendre des notes</w:t>
            </w:r>
          </w:p>
        </w:tc>
        <w:tc>
          <w:tcPr>
            <w:tcW w:w="850" w:type="dxa"/>
            <w:tcBorders>
              <w:right w:val="single" w:sz="4" w:space="0" w:color="auto"/>
            </w:tcBorders>
          </w:tcPr>
          <w:p w:rsidR="006158FF" w:rsidRPr="00AD593D" w:rsidRDefault="006158FF" w:rsidP="00F0458B">
            <w:pPr>
              <w:pStyle w:val="Corpsdetexte"/>
              <w:jc w:val="center"/>
              <w:rPr>
                <w:sz w:val="18"/>
                <w:szCs w:val="18"/>
                <w:lang w:val="en-US"/>
              </w:rPr>
            </w:pPr>
            <w:r w:rsidRPr="00AD593D">
              <w:rPr>
                <w:sz w:val="18"/>
                <w:szCs w:val="18"/>
                <w:lang w:val="en-US"/>
              </w:rPr>
              <w:t>62.42%</w:t>
            </w:r>
          </w:p>
        </w:tc>
        <w:tc>
          <w:tcPr>
            <w:tcW w:w="851" w:type="dxa"/>
            <w:tcBorders>
              <w:right w:val="single" w:sz="4" w:space="0" w:color="auto"/>
            </w:tcBorders>
          </w:tcPr>
          <w:p w:rsidR="006158FF" w:rsidRPr="00AD593D" w:rsidRDefault="006158FF" w:rsidP="00F0458B">
            <w:pPr>
              <w:pStyle w:val="Corpsdetexte"/>
              <w:jc w:val="center"/>
              <w:rPr>
                <w:sz w:val="18"/>
                <w:szCs w:val="18"/>
                <w:lang w:val="en-US"/>
              </w:rPr>
            </w:pPr>
            <w:r w:rsidRPr="00AD593D">
              <w:rPr>
                <w:sz w:val="18"/>
                <w:szCs w:val="18"/>
                <w:lang w:val="en-US"/>
              </w:rPr>
              <w:t>8.92%</w:t>
            </w:r>
          </w:p>
        </w:tc>
        <w:tc>
          <w:tcPr>
            <w:tcW w:w="850" w:type="dxa"/>
            <w:tcBorders>
              <w:right w:val="single" w:sz="4" w:space="0" w:color="auto"/>
            </w:tcBorders>
          </w:tcPr>
          <w:p w:rsidR="006158FF" w:rsidRPr="00AD593D" w:rsidRDefault="006158FF" w:rsidP="00F0458B">
            <w:pPr>
              <w:pStyle w:val="Corpsdetexte"/>
              <w:jc w:val="center"/>
              <w:rPr>
                <w:sz w:val="18"/>
                <w:szCs w:val="18"/>
                <w:lang w:val="en-US"/>
              </w:rPr>
            </w:pPr>
            <w:r w:rsidRPr="00AD593D">
              <w:rPr>
                <w:sz w:val="18"/>
                <w:szCs w:val="18"/>
                <w:lang w:val="en-US"/>
              </w:rPr>
              <w:t>28.66%</w:t>
            </w:r>
          </w:p>
        </w:tc>
        <w:tc>
          <w:tcPr>
            <w:tcW w:w="851" w:type="dxa"/>
            <w:tcBorders>
              <w:left w:val="single" w:sz="4" w:space="0" w:color="auto"/>
              <w:right w:val="single" w:sz="4" w:space="0" w:color="auto"/>
            </w:tcBorders>
          </w:tcPr>
          <w:p w:rsidR="006158FF" w:rsidRPr="00AD593D" w:rsidRDefault="006158FF" w:rsidP="00F0458B">
            <w:pPr>
              <w:pStyle w:val="Corpsdetexte"/>
              <w:jc w:val="center"/>
              <w:rPr>
                <w:sz w:val="18"/>
                <w:szCs w:val="18"/>
                <w:lang w:val="en-US"/>
              </w:rPr>
            </w:pPr>
            <w:r w:rsidRPr="00AD593D">
              <w:rPr>
                <w:sz w:val="18"/>
                <w:szCs w:val="18"/>
                <w:lang w:val="en-US"/>
              </w:rPr>
              <w:t>62.76%</w:t>
            </w:r>
          </w:p>
        </w:tc>
        <w:tc>
          <w:tcPr>
            <w:tcW w:w="850" w:type="dxa"/>
            <w:tcBorders>
              <w:left w:val="single" w:sz="4" w:space="0" w:color="auto"/>
              <w:right w:val="single" w:sz="4" w:space="0" w:color="auto"/>
            </w:tcBorders>
          </w:tcPr>
          <w:p w:rsidR="006158FF" w:rsidRPr="00AD593D" w:rsidRDefault="006158FF" w:rsidP="00F0458B">
            <w:pPr>
              <w:pStyle w:val="Corpsdetexte"/>
              <w:jc w:val="center"/>
              <w:rPr>
                <w:sz w:val="18"/>
                <w:szCs w:val="18"/>
                <w:lang w:val="en-US"/>
              </w:rPr>
            </w:pPr>
            <w:r w:rsidRPr="00AD593D">
              <w:rPr>
                <w:sz w:val="18"/>
                <w:szCs w:val="18"/>
                <w:lang w:val="en-US"/>
              </w:rPr>
              <w:t>12.76%</w:t>
            </w:r>
          </w:p>
        </w:tc>
        <w:tc>
          <w:tcPr>
            <w:tcW w:w="905" w:type="dxa"/>
            <w:tcBorders>
              <w:left w:val="single" w:sz="4" w:space="0" w:color="auto"/>
            </w:tcBorders>
          </w:tcPr>
          <w:p w:rsidR="006158FF" w:rsidRPr="00AD593D" w:rsidRDefault="006158FF" w:rsidP="00F0458B">
            <w:pPr>
              <w:pStyle w:val="Corpsdetexte"/>
              <w:jc w:val="center"/>
              <w:rPr>
                <w:sz w:val="18"/>
                <w:szCs w:val="18"/>
                <w:lang w:val="en-US"/>
              </w:rPr>
            </w:pPr>
            <w:r w:rsidRPr="00AD593D">
              <w:rPr>
                <w:sz w:val="18"/>
                <w:szCs w:val="18"/>
                <w:lang w:val="en-US"/>
              </w:rPr>
              <w:t>24.48%</w:t>
            </w:r>
          </w:p>
        </w:tc>
      </w:tr>
      <w:tr w:rsidR="006158FF" w:rsidRPr="006158FF" w:rsidTr="00F0458B">
        <w:tc>
          <w:tcPr>
            <w:tcW w:w="3227" w:type="dxa"/>
            <w:tcBorders>
              <w:right w:val="single" w:sz="4" w:space="0" w:color="auto"/>
            </w:tcBorders>
          </w:tcPr>
          <w:p w:rsidR="006158FF" w:rsidRPr="00AD593D" w:rsidRDefault="006158FF" w:rsidP="00F0458B">
            <w:pPr>
              <w:pStyle w:val="Corpsdetexte"/>
              <w:rPr>
                <w:sz w:val="18"/>
                <w:szCs w:val="18"/>
              </w:rPr>
            </w:pPr>
            <w:r w:rsidRPr="00AD593D">
              <w:rPr>
                <w:sz w:val="18"/>
                <w:szCs w:val="18"/>
                <w:lang w:bidi="ar-LB"/>
              </w:rPr>
              <w:t>- faire un projet de recherche</w:t>
            </w:r>
          </w:p>
        </w:tc>
        <w:tc>
          <w:tcPr>
            <w:tcW w:w="850" w:type="dxa"/>
            <w:tcBorders>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64.40%</w:t>
            </w:r>
          </w:p>
        </w:tc>
        <w:tc>
          <w:tcPr>
            <w:tcW w:w="851" w:type="dxa"/>
            <w:tcBorders>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5.83%</w:t>
            </w:r>
          </w:p>
        </w:tc>
        <w:tc>
          <w:tcPr>
            <w:tcW w:w="850" w:type="dxa"/>
            <w:tcBorders>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29.77%</w:t>
            </w:r>
          </w:p>
        </w:tc>
        <w:tc>
          <w:tcPr>
            <w:tcW w:w="851" w:type="dxa"/>
            <w:tcBorders>
              <w:left w:val="single" w:sz="4" w:space="0" w:color="auto"/>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68.80%</w:t>
            </w:r>
          </w:p>
        </w:tc>
        <w:tc>
          <w:tcPr>
            <w:tcW w:w="850" w:type="dxa"/>
            <w:tcBorders>
              <w:left w:val="single" w:sz="4" w:space="0" w:color="auto"/>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15.20%</w:t>
            </w:r>
          </w:p>
        </w:tc>
        <w:tc>
          <w:tcPr>
            <w:tcW w:w="905" w:type="dxa"/>
            <w:tcBorders>
              <w:lef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16.00%</w:t>
            </w:r>
          </w:p>
        </w:tc>
      </w:tr>
      <w:tr w:rsidR="006158FF" w:rsidRPr="006158FF" w:rsidTr="00F0458B">
        <w:tc>
          <w:tcPr>
            <w:tcW w:w="3227" w:type="dxa"/>
            <w:tcBorders>
              <w:right w:val="single" w:sz="4" w:space="0" w:color="auto"/>
            </w:tcBorders>
          </w:tcPr>
          <w:p w:rsidR="006158FF" w:rsidRPr="00AD593D" w:rsidRDefault="006158FF" w:rsidP="00F0458B">
            <w:pPr>
              <w:pStyle w:val="Corpsdetexte"/>
              <w:rPr>
                <w:sz w:val="18"/>
                <w:szCs w:val="18"/>
              </w:rPr>
            </w:pPr>
            <w:r w:rsidRPr="00AD593D">
              <w:rPr>
                <w:sz w:val="18"/>
                <w:szCs w:val="18"/>
              </w:rPr>
              <w:t>-lire des romans/ Journaux/ revues</w:t>
            </w:r>
          </w:p>
        </w:tc>
        <w:tc>
          <w:tcPr>
            <w:tcW w:w="850" w:type="dxa"/>
            <w:tcBorders>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41.29%</w:t>
            </w:r>
          </w:p>
        </w:tc>
        <w:tc>
          <w:tcPr>
            <w:tcW w:w="851" w:type="dxa"/>
            <w:tcBorders>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10.00%</w:t>
            </w:r>
          </w:p>
        </w:tc>
        <w:tc>
          <w:tcPr>
            <w:tcW w:w="850" w:type="dxa"/>
            <w:tcBorders>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48.71%</w:t>
            </w:r>
          </w:p>
        </w:tc>
        <w:tc>
          <w:tcPr>
            <w:tcW w:w="851" w:type="dxa"/>
            <w:tcBorders>
              <w:left w:val="single" w:sz="4" w:space="0" w:color="auto"/>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46.56%</w:t>
            </w:r>
          </w:p>
        </w:tc>
        <w:tc>
          <w:tcPr>
            <w:tcW w:w="850" w:type="dxa"/>
            <w:tcBorders>
              <w:left w:val="single" w:sz="4" w:space="0" w:color="auto"/>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15.20%</w:t>
            </w:r>
          </w:p>
        </w:tc>
        <w:tc>
          <w:tcPr>
            <w:tcW w:w="905" w:type="dxa"/>
            <w:tcBorders>
              <w:lef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38.24%</w:t>
            </w:r>
          </w:p>
        </w:tc>
      </w:tr>
      <w:tr w:rsidR="006158FF" w:rsidRPr="006158FF" w:rsidTr="00F0458B">
        <w:tc>
          <w:tcPr>
            <w:tcW w:w="3227" w:type="dxa"/>
            <w:tcBorders>
              <w:right w:val="single" w:sz="4" w:space="0" w:color="auto"/>
            </w:tcBorders>
          </w:tcPr>
          <w:p w:rsidR="006158FF" w:rsidRPr="00AD593D" w:rsidRDefault="006158FF" w:rsidP="00F0458B">
            <w:pPr>
              <w:pStyle w:val="Corpsdetexte"/>
              <w:rPr>
                <w:sz w:val="18"/>
                <w:szCs w:val="18"/>
              </w:rPr>
            </w:pPr>
            <w:r w:rsidRPr="00AD593D">
              <w:rPr>
                <w:sz w:val="18"/>
                <w:szCs w:val="18"/>
              </w:rPr>
              <w:t xml:space="preserve">- écouter des chansons </w:t>
            </w:r>
          </w:p>
        </w:tc>
        <w:tc>
          <w:tcPr>
            <w:tcW w:w="850" w:type="dxa"/>
            <w:tcBorders>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26.18%</w:t>
            </w:r>
          </w:p>
        </w:tc>
        <w:tc>
          <w:tcPr>
            <w:tcW w:w="851" w:type="dxa"/>
            <w:tcBorders>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24.69%</w:t>
            </w:r>
          </w:p>
        </w:tc>
        <w:tc>
          <w:tcPr>
            <w:tcW w:w="850" w:type="dxa"/>
            <w:tcBorders>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49.13%</w:t>
            </w:r>
          </w:p>
        </w:tc>
        <w:tc>
          <w:tcPr>
            <w:tcW w:w="851" w:type="dxa"/>
            <w:tcBorders>
              <w:left w:val="single" w:sz="4" w:space="0" w:color="auto"/>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26.97%</w:t>
            </w:r>
          </w:p>
        </w:tc>
        <w:tc>
          <w:tcPr>
            <w:tcW w:w="850" w:type="dxa"/>
            <w:tcBorders>
              <w:left w:val="single" w:sz="4" w:space="0" w:color="auto"/>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31.38%</w:t>
            </w:r>
          </w:p>
        </w:tc>
        <w:tc>
          <w:tcPr>
            <w:tcW w:w="905" w:type="dxa"/>
            <w:tcBorders>
              <w:lef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41.65%</w:t>
            </w:r>
          </w:p>
        </w:tc>
      </w:tr>
      <w:tr w:rsidR="006158FF" w:rsidRPr="006158FF" w:rsidTr="00F0458B">
        <w:tc>
          <w:tcPr>
            <w:tcW w:w="3227" w:type="dxa"/>
            <w:tcBorders>
              <w:right w:val="single" w:sz="4" w:space="0" w:color="auto"/>
            </w:tcBorders>
          </w:tcPr>
          <w:p w:rsidR="006158FF" w:rsidRPr="00AD593D" w:rsidRDefault="006158FF" w:rsidP="00F0458B">
            <w:pPr>
              <w:pStyle w:val="Corpsdetexte"/>
              <w:rPr>
                <w:sz w:val="18"/>
                <w:szCs w:val="18"/>
              </w:rPr>
            </w:pPr>
            <w:r w:rsidRPr="00AD593D">
              <w:rPr>
                <w:sz w:val="18"/>
                <w:szCs w:val="18"/>
              </w:rPr>
              <w:t>- regarder la télévision…</w:t>
            </w:r>
          </w:p>
        </w:tc>
        <w:tc>
          <w:tcPr>
            <w:tcW w:w="850" w:type="dxa"/>
            <w:tcBorders>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22.04%</w:t>
            </w:r>
          </w:p>
        </w:tc>
        <w:tc>
          <w:tcPr>
            <w:tcW w:w="851" w:type="dxa"/>
            <w:tcBorders>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27.96%</w:t>
            </w:r>
          </w:p>
        </w:tc>
        <w:tc>
          <w:tcPr>
            <w:tcW w:w="850" w:type="dxa"/>
            <w:tcBorders>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50.00%</w:t>
            </w:r>
          </w:p>
        </w:tc>
        <w:tc>
          <w:tcPr>
            <w:tcW w:w="851" w:type="dxa"/>
            <w:tcBorders>
              <w:left w:val="single" w:sz="4" w:space="0" w:color="auto"/>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23.98%</w:t>
            </w:r>
          </w:p>
        </w:tc>
        <w:tc>
          <w:tcPr>
            <w:tcW w:w="850" w:type="dxa"/>
            <w:tcBorders>
              <w:left w:val="single" w:sz="4" w:space="0" w:color="auto"/>
              <w:righ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36.07%</w:t>
            </w:r>
          </w:p>
        </w:tc>
        <w:tc>
          <w:tcPr>
            <w:tcW w:w="905" w:type="dxa"/>
            <w:tcBorders>
              <w:left w:val="single" w:sz="4" w:space="0" w:color="auto"/>
            </w:tcBorders>
          </w:tcPr>
          <w:p w:rsidR="006158FF" w:rsidRPr="00AD593D" w:rsidRDefault="006158FF" w:rsidP="00F0458B">
            <w:pPr>
              <w:pStyle w:val="Corpsdetexte"/>
              <w:jc w:val="center"/>
              <w:rPr>
                <w:sz w:val="18"/>
                <w:szCs w:val="18"/>
              </w:rPr>
            </w:pPr>
            <w:r w:rsidRPr="00AD593D">
              <w:rPr>
                <w:sz w:val="18"/>
                <w:szCs w:val="18"/>
                <w:lang w:val="en-US"/>
              </w:rPr>
              <w:t>39.96%</w:t>
            </w:r>
          </w:p>
        </w:tc>
      </w:tr>
      <w:tr w:rsidR="006158FF" w:rsidRPr="006158FF" w:rsidTr="00F0458B">
        <w:tc>
          <w:tcPr>
            <w:tcW w:w="3227" w:type="dxa"/>
            <w:tcBorders>
              <w:right w:val="single" w:sz="4" w:space="0" w:color="auto"/>
            </w:tcBorders>
          </w:tcPr>
          <w:p w:rsidR="006158FF" w:rsidRPr="00AD593D" w:rsidRDefault="006158FF" w:rsidP="00F0458B">
            <w:pPr>
              <w:pStyle w:val="Corpsdetexte"/>
              <w:rPr>
                <w:sz w:val="18"/>
                <w:szCs w:val="18"/>
              </w:rPr>
            </w:pPr>
            <w:r w:rsidRPr="00AD593D">
              <w:rPr>
                <w:sz w:val="18"/>
                <w:szCs w:val="18"/>
              </w:rPr>
              <w:t xml:space="preserve">- surfer sur Internet </w:t>
            </w:r>
          </w:p>
        </w:tc>
        <w:tc>
          <w:tcPr>
            <w:tcW w:w="850" w:type="dxa"/>
            <w:tcBorders>
              <w:right w:val="single" w:sz="4" w:space="0" w:color="auto"/>
            </w:tcBorders>
          </w:tcPr>
          <w:p w:rsidR="006158FF" w:rsidRPr="00AD593D" w:rsidRDefault="006158FF" w:rsidP="00F0458B">
            <w:pPr>
              <w:pStyle w:val="Corpsdetexte"/>
              <w:jc w:val="center"/>
              <w:rPr>
                <w:sz w:val="18"/>
                <w:szCs w:val="18"/>
                <w:lang w:val="en-US"/>
              </w:rPr>
            </w:pPr>
            <w:r w:rsidRPr="00AD593D">
              <w:rPr>
                <w:sz w:val="18"/>
                <w:szCs w:val="18"/>
                <w:lang w:val="en-US"/>
              </w:rPr>
              <w:t>27.55%</w:t>
            </w:r>
          </w:p>
        </w:tc>
        <w:tc>
          <w:tcPr>
            <w:tcW w:w="851" w:type="dxa"/>
            <w:tcBorders>
              <w:right w:val="single" w:sz="4" w:space="0" w:color="auto"/>
            </w:tcBorders>
          </w:tcPr>
          <w:p w:rsidR="006158FF" w:rsidRPr="00AD593D" w:rsidRDefault="006158FF" w:rsidP="00F0458B">
            <w:pPr>
              <w:pStyle w:val="Corpsdetexte"/>
              <w:jc w:val="center"/>
              <w:rPr>
                <w:sz w:val="18"/>
                <w:szCs w:val="18"/>
                <w:lang w:val="en-US"/>
              </w:rPr>
            </w:pPr>
            <w:r w:rsidRPr="00AD593D">
              <w:rPr>
                <w:sz w:val="18"/>
                <w:szCs w:val="18"/>
                <w:lang w:val="en-US"/>
              </w:rPr>
              <w:t>53.40%</w:t>
            </w:r>
          </w:p>
        </w:tc>
        <w:tc>
          <w:tcPr>
            <w:tcW w:w="850" w:type="dxa"/>
            <w:tcBorders>
              <w:right w:val="single" w:sz="4" w:space="0" w:color="auto"/>
            </w:tcBorders>
          </w:tcPr>
          <w:p w:rsidR="006158FF" w:rsidRPr="00AD593D" w:rsidRDefault="006158FF" w:rsidP="00F0458B">
            <w:pPr>
              <w:pStyle w:val="Corpsdetexte"/>
              <w:jc w:val="center"/>
              <w:rPr>
                <w:sz w:val="18"/>
                <w:szCs w:val="18"/>
                <w:lang w:val="en-US"/>
              </w:rPr>
            </w:pPr>
            <w:r w:rsidRPr="00AD593D">
              <w:rPr>
                <w:sz w:val="18"/>
                <w:szCs w:val="18"/>
                <w:lang w:val="en-US"/>
              </w:rPr>
              <w:t>19.05%</w:t>
            </w:r>
          </w:p>
        </w:tc>
        <w:tc>
          <w:tcPr>
            <w:tcW w:w="851" w:type="dxa"/>
            <w:tcBorders>
              <w:left w:val="single" w:sz="4" w:space="0" w:color="auto"/>
              <w:right w:val="single" w:sz="4" w:space="0" w:color="auto"/>
            </w:tcBorders>
          </w:tcPr>
          <w:p w:rsidR="006158FF" w:rsidRPr="00AD593D" w:rsidRDefault="006158FF" w:rsidP="00F0458B">
            <w:pPr>
              <w:pStyle w:val="Corpsdetexte"/>
              <w:jc w:val="center"/>
              <w:rPr>
                <w:sz w:val="18"/>
                <w:szCs w:val="18"/>
                <w:lang w:val="en-US"/>
              </w:rPr>
            </w:pPr>
            <w:r w:rsidRPr="00AD593D">
              <w:rPr>
                <w:sz w:val="18"/>
                <w:szCs w:val="18"/>
                <w:lang w:val="en-US"/>
              </w:rPr>
              <w:t>32.14%</w:t>
            </w:r>
          </w:p>
        </w:tc>
        <w:tc>
          <w:tcPr>
            <w:tcW w:w="850" w:type="dxa"/>
            <w:tcBorders>
              <w:left w:val="single" w:sz="4" w:space="0" w:color="auto"/>
              <w:right w:val="single" w:sz="4" w:space="0" w:color="auto"/>
            </w:tcBorders>
          </w:tcPr>
          <w:p w:rsidR="006158FF" w:rsidRPr="00AD593D" w:rsidRDefault="006158FF" w:rsidP="00F0458B">
            <w:pPr>
              <w:pStyle w:val="Corpsdetexte"/>
              <w:jc w:val="center"/>
              <w:rPr>
                <w:sz w:val="18"/>
                <w:szCs w:val="18"/>
                <w:lang w:val="en-US"/>
              </w:rPr>
            </w:pPr>
            <w:r w:rsidRPr="00AD593D">
              <w:rPr>
                <w:sz w:val="18"/>
                <w:szCs w:val="18"/>
                <w:lang w:val="en-US"/>
              </w:rPr>
              <w:t>54.08%</w:t>
            </w:r>
          </w:p>
        </w:tc>
        <w:tc>
          <w:tcPr>
            <w:tcW w:w="905" w:type="dxa"/>
            <w:tcBorders>
              <w:left w:val="single" w:sz="4" w:space="0" w:color="auto"/>
            </w:tcBorders>
          </w:tcPr>
          <w:p w:rsidR="006158FF" w:rsidRPr="00AD593D" w:rsidRDefault="006158FF" w:rsidP="00F0458B">
            <w:pPr>
              <w:pStyle w:val="Corpsdetexte"/>
              <w:jc w:val="center"/>
              <w:rPr>
                <w:sz w:val="18"/>
                <w:szCs w:val="18"/>
                <w:lang w:val="en-US"/>
              </w:rPr>
            </w:pPr>
            <w:r w:rsidRPr="00AD593D">
              <w:rPr>
                <w:sz w:val="18"/>
                <w:szCs w:val="18"/>
                <w:lang w:val="en-US"/>
              </w:rPr>
              <w:t>13.78%</w:t>
            </w:r>
          </w:p>
        </w:tc>
      </w:tr>
    </w:tbl>
    <w:p w:rsidR="006158FF" w:rsidRDefault="006158FF" w:rsidP="006158FF">
      <w:pPr>
        <w:jc w:val="both"/>
      </w:pPr>
      <w:r>
        <w:t xml:space="preserve">      </w:t>
      </w:r>
    </w:p>
    <w:p w:rsidR="006158FF" w:rsidRDefault="006158FF" w:rsidP="006158FF">
      <w:pPr>
        <w:jc w:val="both"/>
      </w:pPr>
      <w:r>
        <w:t xml:space="preserve">En ce qui concerne les médias, les étudiants </w:t>
      </w:r>
      <w:r w:rsidRPr="00E35D94">
        <w:t>de l</w:t>
      </w:r>
      <w:r>
        <w:t xml:space="preserve">a section 1 sont ceux qui regardent  le maximum de programmes de télévision en arabe (50.00%) mais ils écoutent autant de chansons francophones (26%) que leurs camarades de la section 2. Comme eux, ils consultent aussi des sites d’internet en anglais, en moyenne 53.74%. </w:t>
      </w:r>
    </w:p>
    <w:p w:rsidR="006158FF" w:rsidRDefault="006158FF" w:rsidP="006158FF">
      <w:pPr>
        <w:jc w:val="both"/>
      </w:pPr>
    </w:p>
    <w:p w:rsidR="006158FF" w:rsidRDefault="006158FF" w:rsidP="006158FF">
      <w:pPr>
        <w:jc w:val="both"/>
        <w:outlineLvl w:val="0"/>
        <w:rPr>
          <w:szCs w:val="23"/>
          <w:u w:val="single"/>
        </w:rPr>
      </w:pPr>
      <w:r w:rsidRPr="00463CD5">
        <w:rPr>
          <w:szCs w:val="23"/>
        </w:rPr>
        <w:t>4.3</w:t>
      </w:r>
      <w:r>
        <w:rPr>
          <w:szCs w:val="23"/>
          <w:u w:val="single"/>
        </w:rPr>
        <w:t xml:space="preserve"> </w:t>
      </w:r>
      <w:r w:rsidRPr="007008AD">
        <w:rPr>
          <w:szCs w:val="23"/>
          <w:u w:val="single"/>
        </w:rPr>
        <w:t xml:space="preserve">Taux </w:t>
      </w:r>
      <w:r>
        <w:rPr>
          <w:szCs w:val="23"/>
          <w:u w:val="single"/>
        </w:rPr>
        <w:t xml:space="preserve">général </w:t>
      </w:r>
      <w:r w:rsidRPr="007008AD">
        <w:rPr>
          <w:szCs w:val="23"/>
          <w:u w:val="single"/>
        </w:rPr>
        <w:t>de fréquence d</w:t>
      </w:r>
      <w:r>
        <w:rPr>
          <w:szCs w:val="23"/>
          <w:u w:val="single"/>
        </w:rPr>
        <w:t>e l</w:t>
      </w:r>
      <w:r w:rsidRPr="007008AD">
        <w:rPr>
          <w:szCs w:val="23"/>
          <w:u w:val="single"/>
        </w:rPr>
        <w:t>’utilisation des langues en usage</w:t>
      </w:r>
      <w:r>
        <w:rPr>
          <w:szCs w:val="23"/>
          <w:u w:val="single"/>
        </w:rPr>
        <w:t xml:space="preserve"> au Liban : </w:t>
      </w:r>
    </w:p>
    <w:p w:rsidR="006158FF" w:rsidRPr="006F6C5C" w:rsidRDefault="006158FF" w:rsidP="006158FF">
      <w:pPr>
        <w:jc w:val="both"/>
        <w:outlineLvl w:val="0"/>
        <w:rPr>
          <w:szCs w:val="23"/>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0"/>
        <w:gridCol w:w="975"/>
        <w:gridCol w:w="1012"/>
        <w:gridCol w:w="1134"/>
        <w:gridCol w:w="1059"/>
        <w:gridCol w:w="1110"/>
        <w:gridCol w:w="980"/>
      </w:tblGrid>
      <w:tr w:rsidR="006158FF" w:rsidRPr="006158FF" w:rsidTr="00F0458B">
        <w:tc>
          <w:tcPr>
            <w:tcW w:w="2090" w:type="dxa"/>
            <w:vMerge w:val="restart"/>
          </w:tcPr>
          <w:p w:rsidR="006158FF" w:rsidRPr="00AD593D" w:rsidRDefault="006158FF" w:rsidP="00F0458B">
            <w:pPr>
              <w:jc w:val="center"/>
              <w:outlineLvl w:val="0"/>
              <w:rPr>
                <w:sz w:val="18"/>
                <w:szCs w:val="18"/>
              </w:rPr>
            </w:pPr>
          </w:p>
        </w:tc>
        <w:tc>
          <w:tcPr>
            <w:tcW w:w="1987" w:type="dxa"/>
            <w:gridSpan w:val="2"/>
          </w:tcPr>
          <w:p w:rsidR="006158FF" w:rsidRPr="00AD593D" w:rsidRDefault="006158FF" w:rsidP="00F0458B">
            <w:pPr>
              <w:jc w:val="center"/>
              <w:outlineLvl w:val="0"/>
              <w:rPr>
                <w:sz w:val="18"/>
                <w:szCs w:val="18"/>
              </w:rPr>
            </w:pPr>
            <w:r w:rsidRPr="00AD593D">
              <w:rPr>
                <w:sz w:val="18"/>
                <w:szCs w:val="18"/>
              </w:rPr>
              <w:t>Français</w:t>
            </w:r>
          </w:p>
        </w:tc>
        <w:tc>
          <w:tcPr>
            <w:tcW w:w="2193" w:type="dxa"/>
            <w:gridSpan w:val="2"/>
          </w:tcPr>
          <w:p w:rsidR="006158FF" w:rsidRPr="00AD593D" w:rsidRDefault="006158FF" w:rsidP="00F0458B">
            <w:pPr>
              <w:jc w:val="center"/>
              <w:outlineLvl w:val="0"/>
              <w:rPr>
                <w:sz w:val="18"/>
                <w:szCs w:val="18"/>
              </w:rPr>
            </w:pPr>
            <w:r w:rsidRPr="00AD593D">
              <w:rPr>
                <w:sz w:val="18"/>
                <w:szCs w:val="18"/>
              </w:rPr>
              <w:t>Anglais</w:t>
            </w:r>
          </w:p>
        </w:tc>
        <w:tc>
          <w:tcPr>
            <w:tcW w:w="2090" w:type="dxa"/>
            <w:gridSpan w:val="2"/>
          </w:tcPr>
          <w:p w:rsidR="006158FF" w:rsidRPr="00AD593D" w:rsidRDefault="006158FF" w:rsidP="00F0458B">
            <w:pPr>
              <w:jc w:val="center"/>
              <w:outlineLvl w:val="0"/>
              <w:rPr>
                <w:sz w:val="18"/>
                <w:szCs w:val="18"/>
              </w:rPr>
            </w:pPr>
            <w:r w:rsidRPr="00AD593D">
              <w:rPr>
                <w:sz w:val="18"/>
                <w:szCs w:val="18"/>
              </w:rPr>
              <w:t>Arabe</w:t>
            </w:r>
          </w:p>
        </w:tc>
      </w:tr>
      <w:tr w:rsidR="006158FF" w:rsidRPr="006158FF" w:rsidTr="00F0458B">
        <w:tc>
          <w:tcPr>
            <w:tcW w:w="2090" w:type="dxa"/>
            <w:vMerge/>
          </w:tcPr>
          <w:p w:rsidR="006158FF" w:rsidRPr="00AD593D" w:rsidRDefault="006158FF" w:rsidP="00F0458B">
            <w:pPr>
              <w:jc w:val="center"/>
              <w:outlineLvl w:val="0"/>
              <w:rPr>
                <w:sz w:val="18"/>
                <w:szCs w:val="18"/>
              </w:rPr>
            </w:pPr>
          </w:p>
        </w:tc>
        <w:tc>
          <w:tcPr>
            <w:tcW w:w="975" w:type="dxa"/>
            <w:tcBorders>
              <w:right w:val="single" w:sz="4" w:space="0" w:color="auto"/>
            </w:tcBorders>
          </w:tcPr>
          <w:p w:rsidR="006158FF" w:rsidRPr="00AD593D" w:rsidRDefault="006158FF" w:rsidP="00F0458B">
            <w:pPr>
              <w:jc w:val="center"/>
              <w:outlineLvl w:val="0"/>
              <w:rPr>
                <w:sz w:val="18"/>
                <w:szCs w:val="18"/>
              </w:rPr>
            </w:pPr>
            <w:r w:rsidRPr="00AD593D">
              <w:rPr>
                <w:sz w:val="18"/>
                <w:szCs w:val="18"/>
              </w:rPr>
              <w:t>Section 1</w:t>
            </w:r>
          </w:p>
        </w:tc>
        <w:tc>
          <w:tcPr>
            <w:tcW w:w="1012" w:type="dxa"/>
            <w:tcBorders>
              <w:left w:val="single" w:sz="4" w:space="0" w:color="auto"/>
            </w:tcBorders>
          </w:tcPr>
          <w:p w:rsidR="006158FF" w:rsidRPr="00AD593D" w:rsidRDefault="006158FF" w:rsidP="00F0458B">
            <w:pPr>
              <w:jc w:val="center"/>
              <w:outlineLvl w:val="0"/>
              <w:rPr>
                <w:sz w:val="18"/>
                <w:szCs w:val="18"/>
              </w:rPr>
            </w:pPr>
            <w:r w:rsidRPr="00AD593D">
              <w:rPr>
                <w:sz w:val="18"/>
                <w:szCs w:val="18"/>
              </w:rPr>
              <w:t>Section 2</w:t>
            </w:r>
          </w:p>
        </w:tc>
        <w:tc>
          <w:tcPr>
            <w:tcW w:w="1134" w:type="dxa"/>
            <w:tcBorders>
              <w:right w:val="single" w:sz="4" w:space="0" w:color="auto"/>
            </w:tcBorders>
          </w:tcPr>
          <w:p w:rsidR="006158FF" w:rsidRPr="00AD593D" w:rsidRDefault="006158FF" w:rsidP="00F0458B">
            <w:pPr>
              <w:jc w:val="center"/>
              <w:outlineLvl w:val="0"/>
              <w:rPr>
                <w:sz w:val="18"/>
                <w:szCs w:val="18"/>
              </w:rPr>
            </w:pPr>
            <w:r w:rsidRPr="00AD593D">
              <w:rPr>
                <w:sz w:val="18"/>
                <w:szCs w:val="18"/>
              </w:rPr>
              <w:t>Section 1</w:t>
            </w:r>
          </w:p>
        </w:tc>
        <w:tc>
          <w:tcPr>
            <w:tcW w:w="1059" w:type="dxa"/>
            <w:tcBorders>
              <w:left w:val="single" w:sz="4" w:space="0" w:color="auto"/>
            </w:tcBorders>
          </w:tcPr>
          <w:p w:rsidR="006158FF" w:rsidRPr="00AD593D" w:rsidRDefault="006158FF" w:rsidP="00F0458B">
            <w:pPr>
              <w:jc w:val="center"/>
              <w:outlineLvl w:val="0"/>
              <w:rPr>
                <w:sz w:val="18"/>
                <w:szCs w:val="18"/>
              </w:rPr>
            </w:pPr>
            <w:r w:rsidRPr="00AD593D">
              <w:rPr>
                <w:sz w:val="18"/>
                <w:szCs w:val="18"/>
              </w:rPr>
              <w:t>Section 2</w:t>
            </w:r>
          </w:p>
        </w:tc>
        <w:tc>
          <w:tcPr>
            <w:tcW w:w="1110" w:type="dxa"/>
            <w:tcBorders>
              <w:right w:val="single" w:sz="4" w:space="0" w:color="auto"/>
            </w:tcBorders>
          </w:tcPr>
          <w:p w:rsidR="006158FF" w:rsidRPr="00AD593D" w:rsidRDefault="006158FF" w:rsidP="00F0458B">
            <w:pPr>
              <w:jc w:val="center"/>
              <w:outlineLvl w:val="0"/>
              <w:rPr>
                <w:sz w:val="18"/>
                <w:szCs w:val="18"/>
              </w:rPr>
            </w:pPr>
            <w:r w:rsidRPr="00AD593D">
              <w:rPr>
                <w:sz w:val="18"/>
                <w:szCs w:val="18"/>
              </w:rPr>
              <w:t>Section 1</w:t>
            </w:r>
          </w:p>
        </w:tc>
        <w:tc>
          <w:tcPr>
            <w:tcW w:w="980" w:type="dxa"/>
            <w:tcBorders>
              <w:left w:val="single" w:sz="4" w:space="0" w:color="auto"/>
            </w:tcBorders>
          </w:tcPr>
          <w:p w:rsidR="006158FF" w:rsidRPr="00AD593D" w:rsidRDefault="006158FF" w:rsidP="00F0458B">
            <w:pPr>
              <w:jc w:val="center"/>
              <w:outlineLvl w:val="0"/>
              <w:rPr>
                <w:sz w:val="18"/>
                <w:szCs w:val="18"/>
              </w:rPr>
            </w:pPr>
            <w:r w:rsidRPr="00AD593D">
              <w:rPr>
                <w:sz w:val="18"/>
                <w:szCs w:val="18"/>
              </w:rPr>
              <w:t>Section 2</w:t>
            </w:r>
          </w:p>
        </w:tc>
      </w:tr>
      <w:tr w:rsidR="006158FF" w:rsidRPr="006158FF" w:rsidTr="00F0458B">
        <w:tc>
          <w:tcPr>
            <w:tcW w:w="2090" w:type="dxa"/>
          </w:tcPr>
          <w:p w:rsidR="006158FF" w:rsidRPr="00AD593D" w:rsidRDefault="006158FF" w:rsidP="00F0458B">
            <w:pPr>
              <w:jc w:val="center"/>
              <w:outlineLvl w:val="0"/>
              <w:rPr>
                <w:sz w:val="18"/>
                <w:szCs w:val="18"/>
              </w:rPr>
            </w:pPr>
            <w:r w:rsidRPr="00AD593D">
              <w:rPr>
                <w:sz w:val="18"/>
                <w:szCs w:val="18"/>
              </w:rPr>
              <w:t>Communication orale</w:t>
            </w:r>
          </w:p>
        </w:tc>
        <w:tc>
          <w:tcPr>
            <w:tcW w:w="975" w:type="dxa"/>
            <w:tcBorders>
              <w:right w:val="single" w:sz="4" w:space="0" w:color="auto"/>
            </w:tcBorders>
          </w:tcPr>
          <w:p w:rsidR="006158FF" w:rsidRPr="00AD593D" w:rsidRDefault="006158FF" w:rsidP="00F0458B">
            <w:pPr>
              <w:jc w:val="center"/>
              <w:outlineLvl w:val="0"/>
              <w:rPr>
                <w:sz w:val="18"/>
                <w:szCs w:val="18"/>
              </w:rPr>
            </w:pPr>
            <w:r w:rsidRPr="00AD593D">
              <w:rPr>
                <w:sz w:val="18"/>
                <w:szCs w:val="18"/>
              </w:rPr>
              <w:t>25.90%</w:t>
            </w:r>
          </w:p>
        </w:tc>
        <w:tc>
          <w:tcPr>
            <w:tcW w:w="1012" w:type="dxa"/>
            <w:tcBorders>
              <w:left w:val="single" w:sz="4" w:space="0" w:color="auto"/>
            </w:tcBorders>
          </w:tcPr>
          <w:p w:rsidR="006158FF" w:rsidRPr="00AD593D" w:rsidRDefault="006158FF" w:rsidP="00F0458B">
            <w:pPr>
              <w:jc w:val="center"/>
              <w:outlineLvl w:val="0"/>
              <w:rPr>
                <w:sz w:val="18"/>
                <w:szCs w:val="18"/>
              </w:rPr>
            </w:pPr>
            <w:r w:rsidRPr="00AD593D">
              <w:rPr>
                <w:sz w:val="18"/>
                <w:szCs w:val="18"/>
              </w:rPr>
              <w:t>26.32%</w:t>
            </w:r>
          </w:p>
        </w:tc>
        <w:tc>
          <w:tcPr>
            <w:tcW w:w="1134" w:type="dxa"/>
            <w:tcBorders>
              <w:right w:val="single" w:sz="4" w:space="0" w:color="auto"/>
            </w:tcBorders>
          </w:tcPr>
          <w:p w:rsidR="006158FF" w:rsidRPr="00AD593D" w:rsidRDefault="006158FF" w:rsidP="00F0458B">
            <w:pPr>
              <w:jc w:val="center"/>
              <w:outlineLvl w:val="0"/>
              <w:rPr>
                <w:sz w:val="18"/>
                <w:szCs w:val="18"/>
              </w:rPr>
            </w:pPr>
            <w:r w:rsidRPr="00AD593D">
              <w:rPr>
                <w:sz w:val="18"/>
                <w:szCs w:val="18"/>
              </w:rPr>
              <w:t>4.55%</w:t>
            </w:r>
          </w:p>
        </w:tc>
        <w:tc>
          <w:tcPr>
            <w:tcW w:w="1059" w:type="dxa"/>
            <w:tcBorders>
              <w:left w:val="single" w:sz="4" w:space="0" w:color="auto"/>
            </w:tcBorders>
          </w:tcPr>
          <w:p w:rsidR="006158FF" w:rsidRPr="00AD593D" w:rsidRDefault="006158FF" w:rsidP="00F0458B">
            <w:pPr>
              <w:jc w:val="center"/>
              <w:outlineLvl w:val="0"/>
              <w:rPr>
                <w:sz w:val="18"/>
                <w:szCs w:val="18"/>
              </w:rPr>
            </w:pPr>
            <w:r w:rsidRPr="00AD593D">
              <w:rPr>
                <w:sz w:val="18"/>
                <w:szCs w:val="18"/>
              </w:rPr>
              <w:t>7.10%</w:t>
            </w:r>
          </w:p>
        </w:tc>
        <w:tc>
          <w:tcPr>
            <w:tcW w:w="1110" w:type="dxa"/>
            <w:tcBorders>
              <w:right w:val="single" w:sz="4" w:space="0" w:color="auto"/>
            </w:tcBorders>
          </w:tcPr>
          <w:p w:rsidR="006158FF" w:rsidRPr="00AD593D" w:rsidRDefault="006158FF" w:rsidP="00F0458B">
            <w:pPr>
              <w:jc w:val="center"/>
              <w:outlineLvl w:val="0"/>
              <w:rPr>
                <w:sz w:val="18"/>
                <w:szCs w:val="18"/>
              </w:rPr>
            </w:pPr>
            <w:r w:rsidRPr="00AD593D">
              <w:rPr>
                <w:sz w:val="18"/>
                <w:szCs w:val="18"/>
              </w:rPr>
              <w:t>69.55%</w:t>
            </w:r>
          </w:p>
        </w:tc>
        <w:tc>
          <w:tcPr>
            <w:tcW w:w="980" w:type="dxa"/>
            <w:tcBorders>
              <w:left w:val="single" w:sz="4" w:space="0" w:color="auto"/>
            </w:tcBorders>
          </w:tcPr>
          <w:p w:rsidR="006158FF" w:rsidRPr="00AD593D" w:rsidRDefault="006158FF" w:rsidP="00F0458B">
            <w:pPr>
              <w:jc w:val="center"/>
              <w:outlineLvl w:val="0"/>
              <w:rPr>
                <w:sz w:val="18"/>
                <w:szCs w:val="18"/>
              </w:rPr>
            </w:pPr>
            <w:r w:rsidRPr="00AD593D">
              <w:rPr>
                <w:sz w:val="18"/>
                <w:szCs w:val="18"/>
              </w:rPr>
              <w:t>66.6%</w:t>
            </w:r>
          </w:p>
        </w:tc>
      </w:tr>
      <w:tr w:rsidR="006158FF" w:rsidRPr="006158FF" w:rsidTr="00F0458B">
        <w:tc>
          <w:tcPr>
            <w:tcW w:w="2090" w:type="dxa"/>
          </w:tcPr>
          <w:p w:rsidR="006158FF" w:rsidRPr="00AD593D" w:rsidRDefault="006158FF" w:rsidP="00F0458B">
            <w:pPr>
              <w:jc w:val="center"/>
              <w:outlineLvl w:val="0"/>
              <w:rPr>
                <w:sz w:val="18"/>
                <w:szCs w:val="18"/>
              </w:rPr>
            </w:pPr>
            <w:r w:rsidRPr="00AD593D">
              <w:rPr>
                <w:sz w:val="18"/>
                <w:szCs w:val="18"/>
              </w:rPr>
              <w:t>Etudes/ divertissement</w:t>
            </w:r>
          </w:p>
        </w:tc>
        <w:tc>
          <w:tcPr>
            <w:tcW w:w="975" w:type="dxa"/>
            <w:tcBorders>
              <w:right w:val="single" w:sz="4" w:space="0" w:color="auto"/>
            </w:tcBorders>
          </w:tcPr>
          <w:p w:rsidR="006158FF" w:rsidRPr="00AD593D" w:rsidRDefault="006158FF" w:rsidP="00F0458B">
            <w:pPr>
              <w:jc w:val="center"/>
              <w:outlineLvl w:val="0"/>
              <w:rPr>
                <w:sz w:val="18"/>
                <w:szCs w:val="18"/>
              </w:rPr>
            </w:pPr>
            <w:r w:rsidRPr="00AD593D">
              <w:rPr>
                <w:sz w:val="18"/>
                <w:szCs w:val="18"/>
              </w:rPr>
              <w:t>42.05%</w:t>
            </w:r>
          </w:p>
        </w:tc>
        <w:tc>
          <w:tcPr>
            <w:tcW w:w="1012" w:type="dxa"/>
            <w:tcBorders>
              <w:left w:val="single" w:sz="4" w:space="0" w:color="auto"/>
            </w:tcBorders>
          </w:tcPr>
          <w:p w:rsidR="006158FF" w:rsidRPr="00AD593D" w:rsidRDefault="006158FF" w:rsidP="00F0458B">
            <w:pPr>
              <w:jc w:val="center"/>
              <w:outlineLvl w:val="0"/>
              <w:rPr>
                <w:sz w:val="18"/>
                <w:szCs w:val="18"/>
              </w:rPr>
            </w:pPr>
            <w:r w:rsidRPr="00AD593D">
              <w:rPr>
                <w:sz w:val="18"/>
                <w:szCs w:val="18"/>
              </w:rPr>
              <w:t>45.78%</w:t>
            </w:r>
          </w:p>
        </w:tc>
        <w:tc>
          <w:tcPr>
            <w:tcW w:w="1134" w:type="dxa"/>
            <w:tcBorders>
              <w:right w:val="single" w:sz="4" w:space="0" w:color="auto"/>
            </w:tcBorders>
          </w:tcPr>
          <w:p w:rsidR="006158FF" w:rsidRPr="00AD593D" w:rsidRDefault="006158FF" w:rsidP="00F0458B">
            <w:pPr>
              <w:jc w:val="center"/>
              <w:outlineLvl w:val="0"/>
              <w:rPr>
                <w:sz w:val="18"/>
                <w:szCs w:val="18"/>
              </w:rPr>
            </w:pPr>
            <w:r w:rsidRPr="00AD593D">
              <w:rPr>
                <w:sz w:val="18"/>
                <w:szCs w:val="18"/>
              </w:rPr>
              <w:t>20%</w:t>
            </w:r>
          </w:p>
        </w:tc>
        <w:tc>
          <w:tcPr>
            <w:tcW w:w="1059" w:type="dxa"/>
            <w:tcBorders>
              <w:left w:val="single" w:sz="4" w:space="0" w:color="auto"/>
            </w:tcBorders>
          </w:tcPr>
          <w:p w:rsidR="006158FF" w:rsidRPr="00AD593D" w:rsidRDefault="006158FF" w:rsidP="00F0458B">
            <w:pPr>
              <w:jc w:val="center"/>
              <w:outlineLvl w:val="0"/>
              <w:rPr>
                <w:sz w:val="18"/>
                <w:szCs w:val="18"/>
              </w:rPr>
            </w:pPr>
            <w:r w:rsidRPr="00AD593D">
              <w:rPr>
                <w:sz w:val="18"/>
                <w:szCs w:val="18"/>
              </w:rPr>
              <w:t>25.85%</w:t>
            </w:r>
          </w:p>
        </w:tc>
        <w:tc>
          <w:tcPr>
            <w:tcW w:w="1110" w:type="dxa"/>
            <w:tcBorders>
              <w:right w:val="single" w:sz="4" w:space="0" w:color="auto"/>
            </w:tcBorders>
          </w:tcPr>
          <w:p w:rsidR="006158FF" w:rsidRPr="00AD593D" w:rsidRDefault="006158FF" w:rsidP="00F0458B">
            <w:pPr>
              <w:jc w:val="center"/>
              <w:outlineLvl w:val="0"/>
              <w:rPr>
                <w:sz w:val="18"/>
                <w:szCs w:val="18"/>
              </w:rPr>
            </w:pPr>
            <w:r w:rsidRPr="00AD593D">
              <w:rPr>
                <w:sz w:val="18"/>
                <w:szCs w:val="18"/>
              </w:rPr>
              <w:t>37.85%</w:t>
            </w:r>
          </w:p>
        </w:tc>
        <w:tc>
          <w:tcPr>
            <w:tcW w:w="980" w:type="dxa"/>
            <w:tcBorders>
              <w:left w:val="single" w:sz="4" w:space="0" w:color="auto"/>
            </w:tcBorders>
          </w:tcPr>
          <w:p w:rsidR="006158FF" w:rsidRPr="00AD593D" w:rsidRDefault="006158FF" w:rsidP="00F0458B">
            <w:pPr>
              <w:jc w:val="center"/>
              <w:outlineLvl w:val="0"/>
              <w:rPr>
                <w:sz w:val="18"/>
                <w:szCs w:val="18"/>
              </w:rPr>
            </w:pPr>
            <w:r w:rsidRPr="00AD593D">
              <w:rPr>
                <w:sz w:val="18"/>
                <w:szCs w:val="18"/>
              </w:rPr>
              <w:t>28.35%</w:t>
            </w:r>
          </w:p>
        </w:tc>
      </w:tr>
    </w:tbl>
    <w:p w:rsidR="006158FF" w:rsidRDefault="006158FF" w:rsidP="006158FF">
      <w:pPr>
        <w:jc w:val="both"/>
      </w:pPr>
    </w:p>
    <w:p w:rsidR="006158FF" w:rsidRDefault="006158FF" w:rsidP="006158FF">
      <w:pPr>
        <w:jc w:val="both"/>
      </w:pPr>
      <w:r>
        <w:t xml:space="preserve">     Le taux de fréquence de l’utilisation du français se situe aux alentours de 25% et l’écart entre la section 1 et la section 2 n’atteint pas 5%.  Pourtant, l’enseignement est principalement dispensé en français à la section 2 par comparaison à la section 1. De ce fait, les informateurs de la section 2 sont censés utiliser nettement plus la langue française que ceux de la section 1. Comment expliquer cette quasi-similitude des pratiques linguistiques entre les étudiants de l’UL? De deux choses, l’une : soit les étudiants de la section 1 font des progrès en français grâce, entre autres, aux cours de remise à niveau linguistique, soit les uns et les autres viennent en majorité d’écoles publiques dont le niveau du français connaît une baisse sensible.  Notre expérience d’enseignant nous amène à privilégier la seconde hypothèse car le français souffre d’un enseignement inadapté au Liban et d’un environnement médiatique et culturel francophone fragilisé. </w:t>
      </w:r>
    </w:p>
    <w:p w:rsidR="006158FF" w:rsidRDefault="006158FF" w:rsidP="006158FF">
      <w:pPr>
        <w:jc w:val="both"/>
      </w:pPr>
    </w:p>
    <w:p w:rsidR="006158FF" w:rsidRDefault="006158FF" w:rsidP="006158FF">
      <w:pPr>
        <w:jc w:val="both"/>
      </w:pPr>
      <w:r>
        <w:t xml:space="preserve">      L’anglais n’échappe pas à ce phénomène même s’il est légèrement plus utilisé par la section 2 que par la section 1.</w:t>
      </w:r>
      <w:r>
        <w:rPr>
          <w:b/>
          <w:bCs/>
        </w:rPr>
        <w:t xml:space="preserve"> </w:t>
      </w:r>
      <w:r>
        <w:t>Aux dires de nos sondés,</w:t>
      </w:r>
      <w:r>
        <w:rPr>
          <w:b/>
          <w:bCs/>
        </w:rPr>
        <w:t xml:space="preserve"> </w:t>
      </w:r>
      <w:r>
        <w:t>l’emploi de cette langue se limite aux mots techniques et aux expressions toutes faites. Dans la plupart des cas, ils disent faire usage de l’anglais pour afficher leur connaissance de cette langue plutôt que de la réellement parler.</w:t>
      </w:r>
    </w:p>
    <w:p w:rsidR="006158FF" w:rsidRDefault="006158FF" w:rsidP="006158FF">
      <w:pPr>
        <w:ind w:right="170"/>
        <w:jc w:val="both"/>
        <w:rPr>
          <w:b/>
          <w:bCs/>
        </w:rPr>
      </w:pPr>
    </w:p>
    <w:p w:rsidR="006158FF" w:rsidRDefault="006158FF" w:rsidP="006158FF">
      <w:pPr>
        <w:ind w:right="170"/>
        <w:jc w:val="both"/>
        <w:rPr>
          <w:b/>
          <w:bCs/>
        </w:rPr>
      </w:pPr>
      <w:r>
        <w:rPr>
          <w:b/>
          <w:bCs/>
        </w:rPr>
        <w:t>5. Comparaison des pratiques linguistiques</w:t>
      </w:r>
    </w:p>
    <w:p w:rsidR="006158FF" w:rsidRDefault="006158FF" w:rsidP="006158FF">
      <w:pPr>
        <w:ind w:right="170"/>
        <w:jc w:val="both"/>
        <w:rPr>
          <w:b/>
          <w:bCs/>
        </w:rPr>
      </w:pPr>
      <w:r>
        <w:rPr>
          <w:b/>
          <w:bCs/>
        </w:rPr>
        <w:t>- USJ/ UL </w:t>
      </w:r>
    </w:p>
    <w:p w:rsidR="006158FF" w:rsidRDefault="006158FF" w:rsidP="006158FF">
      <w:pPr>
        <w:jc w:val="both"/>
      </w:pPr>
      <w:r>
        <w:t xml:space="preserve">       D’une manière générale, le trilinguisme arabe/français/anglais semble plutôt s’inscrire dans les pratiques linguistiques des étudiants de l’USJ. Certes, il s’agit d’un effet de mode, néanmoins par son exigence de la connaissance de l’anglais à côté du français, l’USJ rend légitime et renforce de telles pratiques linguistiques. Rappelons que les étudiants de première année passent obligatoirement un test de niveau d’anglais. </w:t>
      </w:r>
    </w:p>
    <w:p w:rsidR="006158FF" w:rsidRDefault="006158FF" w:rsidP="006158FF">
      <w:pPr>
        <w:jc w:val="both"/>
      </w:pPr>
    </w:p>
    <w:p w:rsidR="006158FF" w:rsidRDefault="006158FF" w:rsidP="006158FF">
      <w:pPr>
        <w:jc w:val="both"/>
      </w:pPr>
    </w:p>
    <w:p w:rsidR="006158FF" w:rsidRDefault="006158FF" w:rsidP="006158FF">
      <w:pPr>
        <w:jc w:val="both"/>
      </w:pPr>
    </w:p>
    <w:p w:rsidR="006158FF" w:rsidRDefault="006158FF" w:rsidP="006158FF">
      <w:pPr>
        <w:jc w:val="both"/>
      </w:pPr>
    </w:p>
    <w:p w:rsidR="006158FF" w:rsidRDefault="006158FF" w:rsidP="006158FF">
      <w:pPr>
        <w:jc w:val="both"/>
      </w:pPr>
    </w:p>
    <w:p w:rsidR="006158FF" w:rsidRDefault="006158FF" w:rsidP="006158FF">
      <w:pPr>
        <w:pStyle w:val="Corpsdetexte"/>
        <w:rPr>
          <w:szCs w:val="23"/>
          <w:u w:val="single"/>
        </w:rPr>
      </w:pPr>
      <w:r w:rsidRPr="00431F6A">
        <w:rPr>
          <w:szCs w:val="23"/>
        </w:rPr>
        <w:lastRenderedPageBreak/>
        <w:t>5.1</w:t>
      </w:r>
      <w:r>
        <w:rPr>
          <w:szCs w:val="23"/>
          <w:u w:val="single"/>
        </w:rPr>
        <w:t xml:space="preserve"> </w:t>
      </w:r>
      <w:r w:rsidRPr="00FA26E6">
        <w:rPr>
          <w:szCs w:val="23"/>
          <w:u w:val="single"/>
        </w:rPr>
        <w:t>Choix de la langue de communication selon l’interlocuteur</w:t>
      </w:r>
      <w:r>
        <w:rPr>
          <w:szCs w:val="23"/>
          <w:u w:val="single"/>
        </w:rPr>
        <w:t xml:space="preserve"> : </w:t>
      </w:r>
    </w:p>
    <w:p w:rsidR="006158FF" w:rsidRDefault="006158FF" w:rsidP="006158FF">
      <w:pPr>
        <w:pStyle w:val="Corpsdetexte"/>
        <w:rPr>
          <w:szCs w:val="23"/>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9"/>
        <w:gridCol w:w="1093"/>
        <w:gridCol w:w="1269"/>
        <w:gridCol w:w="895"/>
        <w:gridCol w:w="1256"/>
        <w:gridCol w:w="1372"/>
        <w:gridCol w:w="1412"/>
      </w:tblGrid>
      <w:tr w:rsidR="006158FF" w:rsidRPr="006158FF" w:rsidTr="00F0458B">
        <w:tc>
          <w:tcPr>
            <w:tcW w:w="1139" w:type="dxa"/>
            <w:vMerge w:val="restart"/>
          </w:tcPr>
          <w:p w:rsidR="006158FF" w:rsidRPr="007772C6" w:rsidRDefault="006158FF" w:rsidP="00F0458B">
            <w:pPr>
              <w:pStyle w:val="Corpsdetexte"/>
              <w:rPr>
                <w:sz w:val="20"/>
                <w:szCs w:val="20"/>
                <w:u w:val="single"/>
              </w:rPr>
            </w:pPr>
          </w:p>
        </w:tc>
        <w:tc>
          <w:tcPr>
            <w:tcW w:w="3257" w:type="dxa"/>
            <w:gridSpan w:val="3"/>
          </w:tcPr>
          <w:p w:rsidR="006158FF" w:rsidRPr="007772C6" w:rsidRDefault="006158FF" w:rsidP="00F0458B">
            <w:pPr>
              <w:pStyle w:val="Corpsdetexte"/>
              <w:jc w:val="center"/>
              <w:rPr>
                <w:b/>
                <w:sz w:val="20"/>
                <w:szCs w:val="20"/>
              </w:rPr>
            </w:pPr>
            <w:r w:rsidRPr="007772C6">
              <w:rPr>
                <w:b/>
                <w:sz w:val="20"/>
                <w:szCs w:val="20"/>
              </w:rPr>
              <w:t xml:space="preserve">UL </w:t>
            </w:r>
          </w:p>
        </w:tc>
        <w:tc>
          <w:tcPr>
            <w:tcW w:w="4040" w:type="dxa"/>
            <w:gridSpan w:val="3"/>
          </w:tcPr>
          <w:p w:rsidR="006158FF" w:rsidRPr="007772C6" w:rsidRDefault="006158FF" w:rsidP="00F0458B">
            <w:pPr>
              <w:pStyle w:val="Corpsdetexte"/>
              <w:jc w:val="center"/>
              <w:rPr>
                <w:b/>
                <w:sz w:val="20"/>
                <w:szCs w:val="20"/>
              </w:rPr>
            </w:pPr>
            <w:r w:rsidRPr="007772C6">
              <w:rPr>
                <w:b/>
                <w:sz w:val="20"/>
                <w:szCs w:val="20"/>
              </w:rPr>
              <w:t>USJ</w:t>
            </w:r>
          </w:p>
        </w:tc>
      </w:tr>
      <w:tr w:rsidR="006158FF" w:rsidRPr="006158FF" w:rsidTr="00F0458B">
        <w:tc>
          <w:tcPr>
            <w:tcW w:w="1139" w:type="dxa"/>
            <w:vMerge/>
          </w:tcPr>
          <w:p w:rsidR="006158FF" w:rsidRPr="007772C6" w:rsidRDefault="006158FF" w:rsidP="00F0458B">
            <w:pPr>
              <w:pStyle w:val="Corpsdetexte"/>
              <w:rPr>
                <w:sz w:val="20"/>
                <w:szCs w:val="20"/>
              </w:rPr>
            </w:pPr>
          </w:p>
        </w:tc>
        <w:tc>
          <w:tcPr>
            <w:tcW w:w="1093" w:type="dxa"/>
            <w:tcBorders>
              <w:right w:val="single" w:sz="4" w:space="0" w:color="auto"/>
            </w:tcBorders>
          </w:tcPr>
          <w:p w:rsidR="006158FF" w:rsidRPr="007772C6" w:rsidRDefault="006158FF" w:rsidP="00F0458B">
            <w:pPr>
              <w:pStyle w:val="Corpsdetexte"/>
              <w:jc w:val="center"/>
              <w:rPr>
                <w:sz w:val="20"/>
                <w:szCs w:val="20"/>
              </w:rPr>
            </w:pPr>
            <w:r w:rsidRPr="007772C6">
              <w:rPr>
                <w:sz w:val="20"/>
                <w:szCs w:val="20"/>
              </w:rPr>
              <w:t>Français</w:t>
            </w:r>
          </w:p>
        </w:tc>
        <w:tc>
          <w:tcPr>
            <w:tcW w:w="1269"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7772C6">
              <w:rPr>
                <w:sz w:val="20"/>
                <w:szCs w:val="20"/>
              </w:rPr>
              <w:t>Anglais</w:t>
            </w:r>
          </w:p>
        </w:tc>
        <w:tc>
          <w:tcPr>
            <w:tcW w:w="895" w:type="dxa"/>
            <w:tcBorders>
              <w:left w:val="single" w:sz="4" w:space="0" w:color="auto"/>
            </w:tcBorders>
          </w:tcPr>
          <w:p w:rsidR="006158FF" w:rsidRPr="007772C6" w:rsidRDefault="006158FF" w:rsidP="00F0458B">
            <w:pPr>
              <w:pStyle w:val="Corpsdetexte"/>
              <w:jc w:val="center"/>
              <w:rPr>
                <w:sz w:val="20"/>
                <w:szCs w:val="20"/>
              </w:rPr>
            </w:pPr>
            <w:r w:rsidRPr="007772C6">
              <w:rPr>
                <w:sz w:val="20"/>
                <w:szCs w:val="20"/>
              </w:rPr>
              <w:t>Arabe</w:t>
            </w:r>
          </w:p>
        </w:tc>
        <w:tc>
          <w:tcPr>
            <w:tcW w:w="1256" w:type="dxa"/>
            <w:tcBorders>
              <w:right w:val="single" w:sz="4" w:space="0" w:color="auto"/>
            </w:tcBorders>
          </w:tcPr>
          <w:p w:rsidR="006158FF" w:rsidRPr="007772C6" w:rsidRDefault="006158FF" w:rsidP="00F0458B">
            <w:pPr>
              <w:pStyle w:val="Corpsdetexte"/>
              <w:jc w:val="center"/>
              <w:rPr>
                <w:sz w:val="20"/>
                <w:szCs w:val="20"/>
              </w:rPr>
            </w:pPr>
            <w:r w:rsidRPr="007772C6">
              <w:rPr>
                <w:sz w:val="20"/>
                <w:szCs w:val="20"/>
              </w:rPr>
              <w:t>Français</w:t>
            </w:r>
          </w:p>
        </w:tc>
        <w:tc>
          <w:tcPr>
            <w:tcW w:w="1372"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7772C6">
              <w:rPr>
                <w:sz w:val="20"/>
                <w:szCs w:val="20"/>
              </w:rPr>
              <w:t>Anglais</w:t>
            </w:r>
          </w:p>
        </w:tc>
        <w:tc>
          <w:tcPr>
            <w:tcW w:w="1412" w:type="dxa"/>
            <w:tcBorders>
              <w:left w:val="single" w:sz="4" w:space="0" w:color="auto"/>
            </w:tcBorders>
          </w:tcPr>
          <w:p w:rsidR="006158FF" w:rsidRPr="007772C6" w:rsidRDefault="006158FF" w:rsidP="00F0458B">
            <w:pPr>
              <w:pStyle w:val="Corpsdetexte"/>
              <w:jc w:val="center"/>
              <w:rPr>
                <w:sz w:val="20"/>
                <w:szCs w:val="20"/>
              </w:rPr>
            </w:pPr>
            <w:r w:rsidRPr="007772C6">
              <w:rPr>
                <w:sz w:val="20"/>
                <w:szCs w:val="20"/>
              </w:rPr>
              <w:t>Arabe</w:t>
            </w:r>
          </w:p>
        </w:tc>
      </w:tr>
      <w:tr w:rsidR="006158FF" w:rsidRPr="006158FF" w:rsidTr="00F0458B">
        <w:tc>
          <w:tcPr>
            <w:tcW w:w="1139" w:type="dxa"/>
          </w:tcPr>
          <w:p w:rsidR="006158FF" w:rsidRPr="007772C6" w:rsidRDefault="006158FF" w:rsidP="00F0458B">
            <w:pPr>
              <w:pStyle w:val="Corpsdetexte"/>
              <w:rPr>
                <w:sz w:val="20"/>
                <w:szCs w:val="20"/>
              </w:rPr>
            </w:pPr>
            <w:r w:rsidRPr="007772C6">
              <w:rPr>
                <w:sz w:val="20"/>
                <w:szCs w:val="20"/>
              </w:rPr>
              <w:t>Parents</w:t>
            </w:r>
          </w:p>
        </w:tc>
        <w:tc>
          <w:tcPr>
            <w:tcW w:w="1093" w:type="dxa"/>
            <w:tcBorders>
              <w:right w:val="single" w:sz="4" w:space="0" w:color="auto"/>
            </w:tcBorders>
          </w:tcPr>
          <w:p w:rsidR="006158FF" w:rsidRPr="007772C6" w:rsidRDefault="006158FF" w:rsidP="00F0458B">
            <w:pPr>
              <w:pStyle w:val="Corpsdetexte"/>
              <w:jc w:val="center"/>
              <w:rPr>
                <w:sz w:val="20"/>
                <w:szCs w:val="20"/>
              </w:rPr>
            </w:pPr>
            <w:r>
              <w:rPr>
                <w:sz w:val="20"/>
                <w:szCs w:val="20"/>
              </w:rPr>
              <w:t>09.1%</w:t>
            </w:r>
          </w:p>
        </w:tc>
        <w:tc>
          <w:tcPr>
            <w:tcW w:w="1269"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Pr>
                <w:sz w:val="20"/>
                <w:szCs w:val="20"/>
              </w:rPr>
              <w:t>01.815</w:t>
            </w:r>
          </w:p>
        </w:tc>
        <w:tc>
          <w:tcPr>
            <w:tcW w:w="895" w:type="dxa"/>
            <w:tcBorders>
              <w:left w:val="single" w:sz="4" w:space="0" w:color="auto"/>
            </w:tcBorders>
          </w:tcPr>
          <w:p w:rsidR="006158FF" w:rsidRPr="007772C6" w:rsidRDefault="006158FF" w:rsidP="00F0458B">
            <w:pPr>
              <w:pStyle w:val="Corpsdetexte"/>
              <w:jc w:val="center"/>
              <w:rPr>
                <w:sz w:val="20"/>
                <w:szCs w:val="20"/>
              </w:rPr>
            </w:pPr>
            <w:r>
              <w:rPr>
                <w:sz w:val="20"/>
                <w:szCs w:val="20"/>
              </w:rPr>
              <w:t>89.09%</w:t>
            </w:r>
          </w:p>
        </w:tc>
        <w:tc>
          <w:tcPr>
            <w:tcW w:w="1256" w:type="dxa"/>
            <w:tcBorders>
              <w:right w:val="single" w:sz="4" w:space="0" w:color="auto"/>
            </w:tcBorders>
          </w:tcPr>
          <w:p w:rsidR="006158FF" w:rsidRPr="007772C6" w:rsidRDefault="006158FF" w:rsidP="00F0458B">
            <w:pPr>
              <w:pStyle w:val="Corpsdetexte"/>
              <w:jc w:val="center"/>
              <w:rPr>
                <w:sz w:val="20"/>
                <w:szCs w:val="20"/>
              </w:rPr>
            </w:pPr>
            <w:r>
              <w:rPr>
                <w:sz w:val="20"/>
                <w:szCs w:val="20"/>
              </w:rPr>
              <w:t>20.06%</w:t>
            </w:r>
          </w:p>
        </w:tc>
        <w:tc>
          <w:tcPr>
            <w:tcW w:w="1372"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Pr>
                <w:sz w:val="20"/>
                <w:szCs w:val="20"/>
              </w:rPr>
              <w:t>4.835%</w:t>
            </w:r>
          </w:p>
        </w:tc>
        <w:tc>
          <w:tcPr>
            <w:tcW w:w="1412" w:type="dxa"/>
            <w:tcBorders>
              <w:left w:val="single" w:sz="4" w:space="0" w:color="auto"/>
            </w:tcBorders>
          </w:tcPr>
          <w:p w:rsidR="006158FF" w:rsidRPr="007772C6" w:rsidRDefault="006158FF" w:rsidP="00F0458B">
            <w:pPr>
              <w:pStyle w:val="Corpsdetexte"/>
              <w:jc w:val="center"/>
              <w:rPr>
                <w:sz w:val="20"/>
                <w:szCs w:val="20"/>
              </w:rPr>
            </w:pPr>
            <w:r>
              <w:rPr>
                <w:sz w:val="20"/>
                <w:szCs w:val="20"/>
              </w:rPr>
              <w:t>75.23%</w:t>
            </w:r>
          </w:p>
        </w:tc>
      </w:tr>
      <w:tr w:rsidR="006158FF" w:rsidRPr="006158FF" w:rsidTr="00F0458B">
        <w:tc>
          <w:tcPr>
            <w:tcW w:w="1139" w:type="dxa"/>
          </w:tcPr>
          <w:p w:rsidR="006158FF" w:rsidRPr="007772C6" w:rsidRDefault="006158FF" w:rsidP="00F0458B">
            <w:pPr>
              <w:pStyle w:val="Corpsdetexte"/>
              <w:rPr>
                <w:sz w:val="20"/>
                <w:szCs w:val="20"/>
              </w:rPr>
            </w:pPr>
            <w:r w:rsidRPr="007772C6">
              <w:rPr>
                <w:sz w:val="20"/>
                <w:szCs w:val="20"/>
              </w:rPr>
              <w:t>Fratrie</w:t>
            </w:r>
          </w:p>
        </w:tc>
        <w:tc>
          <w:tcPr>
            <w:tcW w:w="1093" w:type="dxa"/>
            <w:tcBorders>
              <w:right w:val="single" w:sz="4" w:space="0" w:color="auto"/>
            </w:tcBorders>
          </w:tcPr>
          <w:p w:rsidR="006158FF" w:rsidRPr="007772C6" w:rsidRDefault="006158FF" w:rsidP="00F0458B">
            <w:pPr>
              <w:pStyle w:val="Corpsdetexte"/>
              <w:jc w:val="center"/>
              <w:rPr>
                <w:sz w:val="20"/>
                <w:szCs w:val="20"/>
              </w:rPr>
            </w:pPr>
            <w:r w:rsidRPr="001C75D1">
              <w:rPr>
                <w:rFonts w:ascii="Arial" w:hAnsi="Arial" w:cs="Arial"/>
                <w:sz w:val="20"/>
                <w:szCs w:val="20"/>
                <w:lang w:val="en-US"/>
              </w:rPr>
              <w:t>22.27%</w:t>
            </w:r>
          </w:p>
        </w:tc>
        <w:tc>
          <w:tcPr>
            <w:tcW w:w="1269"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1C75D1">
              <w:rPr>
                <w:rFonts w:ascii="Arial" w:hAnsi="Arial" w:cs="Arial"/>
                <w:sz w:val="20"/>
                <w:szCs w:val="20"/>
                <w:lang w:val="en-US"/>
              </w:rPr>
              <w:t>7.68%</w:t>
            </w:r>
          </w:p>
        </w:tc>
        <w:tc>
          <w:tcPr>
            <w:tcW w:w="895" w:type="dxa"/>
            <w:tcBorders>
              <w:left w:val="single" w:sz="4" w:space="0" w:color="auto"/>
            </w:tcBorders>
          </w:tcPr>
          <w:p w:rsidR="006158FF" w:rsidRPr="007772C6" w:rsidRDefault="006158FF" w:rsidP="00F0458B">
            <w:pPr>
              <w:pStyle w:val="Corpsdetexte"/>
              <w:jc w:val="center"/>
              <w:rPr>
                <w:sz w:val="20"/>
                <w:szCs w:val="20"/>
              </w:rPr>
            </w:pPr>
            <w:r w:rsidRPr="001C75D1">
              <w:rPr>
                <w:rFonts w:ascii="Arial" w:hAnsi="Arial" w:cs="Arial"/>
                <w:sz w:val="20"/>
                <w:szCs w:val="20"/>
                <w:lang w:val="en-US"/>
              </w:rPr>
              <w:t>70.05%</w:t>
            </w:r>
          </w:p>
        </w:tc>
        <w:tc>
          <w:tcPr>
            <w:tcW w:w="1256" w:type="dxa"/>
            <w:tcBorders>
              <w:right w:val="single" w:sz="4" w:space="0" w:color="auto"/>
            </w:tcBorders>
          </w:tcPr>
          <w:p w:rsidR="006158FF" w:rsidRPr="007772C6" w:rsidRDefault="006158FF" w:rsidP="00F0458B">
            <w:pPr>
              <w:pStyle w:val="Corpsdetexte"/>
              <w:jc w:val="center"/>
              <w:rPr>
                <w:sz w:val="20"/>
                <w:szCs w:val="20"/>
              </w:rPr>
            </w:pPr>
            <w:r w:rsidRPr="001C75D1">
              <w:rPr>
                <w:rFonts w:ascii="Arial" w:hAnsi="Arial" w:cs="Arial"/>
                <w:sz w:val="20"/>
                <w:szCs w:val="20"/>
                <w:lang w:val="en-US"/>
              </w:rPr>
              <w:t>29.68%</w:t>
            </w:r>
          </w:p>
        </w:tc>
        <w:tc>
          <w:tcPr>
            <w:tcW w:w="1372"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Pr>
                <w:rFonts w:ascii="Arial" w:hAnsi="Arial" w:cs="Arial"/>
                <w:sz w:val="20"/>
                <w:szCs w:val="20"/>
                <w:lang w:val="en-US"/>
              </w:rPr>
              <w:t>0</w:t>
            </w:r>
            <w:r w:rsidRPr="001C75D1">
              <w:rPr>
                <w:rFonts w:ascii="Arial" w:hAnsi="Arial" w:cs="Arial"/>
                <w:sz w:val="20"/>
                <w:szCs w:val="20"/>
                <w:lang w:val="en-US"/>
              </w:rPr>
              <w:t>8.96%</w:t>
            </w:r>
          </w:p>
        </w:tc>
        <w:tc>
          <w:tcPr>
            <w:tcW w:w="1412" w:type="dxa"/>
            <w:tcBorders>
              <w:left w:val="single" w:sz="4" w:space="0" w:color="auto"/>
            </w:tcBorders>
          </w:tcPr>
          <w:p w:rsidR="006158FF" w:rsidRPr="007772C6" w:rsidRDefault="006158FF" w:rsidP="00F0458B">
            <w:pPr>
              <w:pStyle w:val="Corpsdetexte"/>
              <w:jc w:val="center"/>
              <w:rPr>
                <w:sz w:val="20"/>
                <w:szCs w:val="20"/>
              </w:rPr>
            </w:pPr>
            <w:r w:rsidRPr="001C75D1">
              <w:rPr>
                <w:rFonts w:ascii="Arial" w:hAnsi="Arial" w:cs="Arial"/>
                <w:sz w:val="20"/>
                <w:szCs w:val="20"/>
                <w:lang w:val="en-US"/>
              </w:rPr>
              <w:t>61.35%</w:t>
            </w:r>
          </w:p>
        </w:tc>
      </w:tr>
      <w:tr w:rsidR="006158FF" w:rsidRPr="006158FF" w:rsidTr="00F0458B">
        <w:tc>
          <w:tcPr>
            <w:tcW w:w="1139" w:type="dxa"/>
          </w:tcPr>
          <w:p w:rsidR="006158FF" w:rsidRPr="007772C6" w:rsidRDefault="006158FF" w:rsidP="00F0458B">
            <w:pPr>
              <w:pStyle w:val="Corpsdetexte"/>
              <w:rPr>
                <w:sz w:val="20"/>
                <w:szCs w:val="20"/>
              </w:rPr>
            </w:pPr>
            <w:r w:rsidRPr="007772C6">
              <w:rPr>
                <w:sz w:val="20"/>
                <w:szCs w:val="20"/>
              </w:rPr>
              <w:t xml:space="preserve">Amis </w:t>
            </w:r>
          </w:p>
        </w:tc>
        <w:tc>
          <w:tcPr>
            <w:tcW w:w="1093" w:type="dxa"/>
            <w:tcBorders>
              <w:right w:val="single" w:sz="4" w:space="0" w:color="auto"/>
            </w:tcBorders>
          </w:tcPr>
          <w:p w:rsidR="006158FF" w:rsidRPr="007772C6" w:rsidRDefault="006158FF" w:rsidP="00F0458B">
            <w:pPr>
              <w:pStyle w:val="Corpsdetexte"/>
              <w:jc w:val="center"/>
              <w:rPr>
                <w:sz w:val="20"/>
                <w:szCs w:val="20"/>
              </w:rPr>
            </w:pPr>
            <w:r w:rsidRPr="001C0BE9">
              <w:rPr>
                <w:rFonts w:ascii="Arial" w:hAnsi="Arial" w:cs="Arial"/>
                <w:sz w:val="20"/>
                <w:szCs w:val="20"/>
                <w:lang w:val="en-US"/>
              </w:rPr>
              <w:t>19.65%</w:t>
            </w:r>
          </w:p>
        </w:tc>
        <w:tc>
          <w:tcPr>
            <w:tcW w:w="1269"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1C0BE9">
              <w:rPr>
                <w:rFonts w:ascii="Arial" w:hAnsi="Arial" w:cs="Arial"/>
                <w:sz w:val="20"/>
                <w:szCs w:val="20"/>
                <w:lang w:val="en-US"/>
              </w:rPr>
              <w:t>8.72%</w:t>
            </w:r>
          </w:p>
        </w:tc>
        <w:tc>
          <w:tcPr>
            <w:tcW w:w="895" w:type="dxa"/>
            <w:tcBorders>
              <w:left w:val="single" w:sz="4" w:space="0" w:color="auto"/>
            </w:tcBorders>
          </w:tcPr>
          <w:p w:rsidR="006158FF" w:rsidRPr="007772C6" w:rsidRDefault="006158FF" w:rsidP="00F0458B">
            <w:pPr>
              <w:pStyle w:val="Corpsdetexte"/>
              <w:jc w:val="center"/>
              <w:rPr>
                <w:sz w:val="20"/>
                <w:szCs w:val="20"/>
              </w:rPr>
            </w:pPr>
            <w:r w:rsidRPr="001C0BE9">
              <w:rPr>
                <w:rFonts w:ascii="Arial" w:hAnsi="Arial" w:cs="Arial"/>
                <w:sz w:val="20"/>
                <w:szCs w:val="20"/>
                <w:lang w:val="en-US"/>
              </w:rPr>
              <w:t>71.63%</w:t>
            </w:r>
          </w:p>
        </w:tc>
        <w:tc>
          <w:tcPr>
            <w:tcW w:w="1256" w:type="dxa"/>
            <w:tcBorders>
              <w:right w:val="single" w:sz="4" w:space="0" w:color="auto"/>
            </w:tcBorders>
          </w:tcPr>
          <w:p w:rsidR="006158FF" w:rsidRPr="007772C6" w:rsidRDefault="006158FF" w:rsidP="00F0458B">
            <w:pPr>
              <w:pStyle w:val="Corpsdetexte"/>
              <w:jc w:val="center"/>
              <w:rPr>
                <w:sz w:val="20"/>
                <w:szCs w:val="20"/>
              </w:rPr>
            </w:pPr>
            <w:r w:rsidRPr="001C0BE9">
              <w:rPr>
                <w:rFonts w:ascii="Arial" w:hAnsi="Arial" w:cs="Arial"/>
                <w:sz w:val="20"/>
                <w:szCs w:val="20"/>
                <w:lang w:val="en-US"/>
              </w:rPr>
              <w:t>31.64%</w:t>
            </w:r>
          </w:p>
        </w:tc>
        <w:tc>
          <w:tcPr>
            <w:tcW w:w="1372"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1C0BE9">
              <w:rPr>
                <w:rFonts w:ascii="Arial" w:hAnsi="Arial" w:cs="Arial"/>
                <w:sz w:val="20"/>
                <w:szCs w:val="20"/>
                <w:lang w:val="en-US"/>
              </w:rPr>
              <w:t>10.36%</w:t>
            </w:r>
          </w:p>
        </w:tc>
        <w:tc>
          <w:tcPr>
            <w:tcW w:w="1412" w:type="dxa"/>
            <w:tcBorders>
              <w:left w:val="single" w:sz="4" w:space="0" w:color="auto"/>
            </w:tcBorders>
          </w:tcPr>
          <w:p w:rsidR="006158FF" w:rsidRPr="007772C6" w:rsidRDefault="006158FF" w:rsidP="00F0458B">
            <w:pPr>
              <w:pStyle w:val="Corpsdetexte"/>
              <w:jc w:val="center"/>
              <w:rPr>
                <w:sz w:val="20"/>
                <w:szCs w:val="20"/>
              </w:rPr>
            </w:pPr>
            <w:r w:rsidRPr="001C0BE9">
              <w:rPr>
                <w:rFonts w:ascii="Arial" w:hAnsi="Arial" w:cs="Arial"/>
                <w:sz w:val="20"/>
                <w:szCs w:val="20"/>
                <w:lang w:val="en-US"/>
              </w:rPr>
              <w:t>58.00%</w:t>
            </w:r>
          </w:p>
        </w:tc>
      </w:tr>
      <w:tr w:rsidR="006158FF" w:rsidRPr="006158FF" w:rsidTr="00F0458B">
        <w:tc>
          <w:tcPr>
            <w:tcW w:w="1139" w:type="dxa"/>
          </w:tcPr>
          <w:p w:rsidR="006158FF" w:rsidRPr="007772C6" w:rsidRDefault="006158FF" w:rsidP="00F0458B">
            <w:pPr>
              <w:pStyle w:val="Corpsdetexte"/>
              <w:rPr>
                <w:sz w:val="20"/>
                <w:szCs w:val="20"/>
              </w:rPr>
            </w:pPr>
            <w:r w:rsidRPr="007772C6">
              <w:rPr>
                <w:sz w:val="20"/>
                <w:szCs w:val="20"/>
              </w:rPr>
              <w:t>Professeurs</w:t>
            </w:r>
          </w:p>
        </w:tc>
        <w:tc>
          <w:tcPr>
            <w:tcW w:w="1093" w:type="dxa"/>
            <w:tcBorders>
              <w:right w:val="single" w:sz="4" w:space="0" w:color="auto"/>
            </w:tcBorders>
          </w:tcPr>
          <w:p w:rsidR="006158FF" w:rsidRPr="007772C6" w:rsidRDefault="006158FF" w:rsidP="00F0458B">
            <w:pPr>
              <w:pStyle w:val="Corpsdetexte"/>
              <w:jc w:val="center"/>
              <w:rPr>
                <w:sz w:val="20"/>
                <w:szCs w:val="20"/>
              </w:rPr>
            </w:pPr>
            <w:r w:rsidRPr="00160032">
              <w:rPr>
                <w:rFonts w:ascii="Arial" w:hAnsi="Arial" w:cs="Arial"/>
                <w:sz w:val="20"/>
                <w:szCs w:val="20"/>
                <w:lang w:val="en-US"/>
              </w:rPr>
              <w:t>62.48%</w:t>
            </w:r>
          </w:p>
        </w:tc>
        <w:tc>
          <w:tcPr>
            <w:tcW w:w="1269" w:type="dxa"/>
            <w:tcBorders>
              <w:left w:val="single" w:sz="4" w:space="0" w:color="auto"/>
              <w:right w:val="single" w:sz="4" w:space="0" w:color="auto"/>
            </w:tcBorders>
          </w:tcPr>
          <w:p w:rsidR="006158FF" w:rsidRPr="007772C6" w:rsidRDefault="006158FF" w:rsidP="00F0458B">
            <w:pPr>
              <w:pStyle w:val="Corpsdetexte"/>
              <w:jc w:val="center"/>
              <w:rPr>
                <w:sz w:val="20"/>
                <w:szCs w:val="20"/>
                <w:lang w:val="de-DE"/>
              </w:rPr>
            </w:pPr>
            <w:r w:rsidRPr="00160032">
              <w:rPr>
                <w:rFonts w:ascii="Arial" w:hAnsi="Arial" w:cs="Arial"/>
                <w:sz w:val="20"/>
                <w:szCs w:val="20"/>
                <w:lang w:val="en-US"/>
              </w:rPr>
              <w:t>5.60%</w:t>
            </w:r>
          </w:p>
        </w:tc>
        <w:tc>
          <w:tcPr>
            <w:tcW w:w="895" w:type="dxa"/>
            <w:tcBorders>
              <w:left w:val="single" w:sz="4" w:space="0" w:color="auto"/>
            </w:tcBorders>
          </w:tcPr>
          <w:p w:rsidR="006158FF" w:rsidRPr="007772C6" w:rsidRDefault="006158FF" w:rsidP="00F0458B">
            <w:pPr>
              <w:pStyle w:val="Corpsdetexte"/>
              <w:jc w:val="center"/>
              <w:rPr>
                <w:sz w:val="20"/>
                <w:szCs w:val="20"/>
              </w:rPr>
            </w:pPr>
            <w:r w:rsidRPr="00160032">
              <w:rPr>
                <w:rFonts w:ascii="Arial" w:hAnsi="Arial" w:cs="Arial"/>
                <w:sz w:val="20"/>
                <w:szCs w:val="20"/>
                <w:lang w:val="en-US"/>
              </w:rPr>
              <w:t>31.92%</w:t>
            </w:r>
          </w:p>
        </w:tc>
        <w:tc>
          <w:tcPr>
            <w:tcW w:w="1256" w:type="dxa"/>
            <w:tcBorders>
              <w:right w:val="single" w:sz="4" w:space="0" w:color="auto"/>
            </w:tcBorders>
          </w:tcPr>
          <w:p w:rsidR="006158FF" w:rsidRPr="007772C6" w:rsidRDefault="006158FF" w:rsidP="00F0458B">
            <w:pPr>
              <w:pStyle w:val="Corpsdetexte"/>
              <w:jc w:val="center"/>
              <w:rPr>
                <w:sz w:val="20"/>
                <w:szCs w:val="20"/>
              </w:rPr>
            </w:pPr>
            <w:r w:rsidRPr="00160032">
              <w:rPr>
                <w:rFonts w:ascii="Arial" w:hAnsi="Arial" w:cs="Arial"/>
                <w:sz w:val="20"/>
                <w:szCs w:val="20"/>
                <w:lang w:val="en-US"/>
              </w:rPr>
              <w:t>69.79%</w:t>
            </w:r>
          </w:p>
        </w:tc>
        <w:tc>
          <w:tcPr>
            <w:tcW w:w="1372"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160032">
              <w:rPr>
                <w:rFonts w:ascii="Arial" w:hAnsi="Arial" w:cs="Arial"/>
                <w:sz w:val="20"/>
                <w:szCs w:val="20"/>
                <w:lang w:val="en-US"/>
              </w:rPr>
              <w:t>11.07%</w:t>
            </w:r>
          </w:p>
        </w:tc>
        <w:tc>
          <w:tcPr>
            <w:tcW w:w="1412" w:type="dxa"/>
            <w:tcBorders>
              <w:left w:val="single" w:sz="4" w:space="0" w:color="auto"/>
            </w:tcBorders>
          </w:tcPr>
          <w:p w:rsidR="006158FF" w:rsidRPr="007772C6" w:rsidRDefault="006158FF" w:rsidP="00F0458B">
            <w:pPr>
              <w:pStyle w:val="Corpsdetexte"/>
              <w:jc w:val="center"/>
              <w:rPr>
                <w:sz w:val="20"/>
                <w:szCs w:val="20"/>
              </w:rPr>
            </w:pPr>
            <w:r w:rsidRPr="00160032">
              <w:rPr>
                <w:rFonts w:ascii="Arial" w:hAnsi="Arial" w:cs="Arial"/>
                <w:sz w:val="20"/>
                <w:szCs w:val="20"/>
                <w:lang w:val="en-US"/>
              </w:rPr>
              <w:t>19.14%</w:t>
            </w:r>
          </w:p>
        </w:tc>
      </w:tr>
      <w:tr w:rsidR="006158FF" w:rsidRPr="006158FF" w:rsidTr="00F0458B">
        <w:tc>
          <w:tcPr>
            <w:tcW w:w="1139" w:type="dxa"/>
          </w:tcPr>
          <w:p w:rsidR="006158FF" w:rsidRPr="007772C6" w:rsidRDefault="006158FF" w:rsidP="00F0458B">
            <w:pPr>
              <w:pStyle w:val="Corpsdetexte"/>
              <w:rPr>
                <w:sz w:val="20"/>
                <w:szCs w:val="20"/>
              </w:rPr>
            </w:pPr>
            <w:r>
              <w:rPr>
                <w:sz w:val="20"/>
                <w:szCs w:val="20"/>
              </w:rPr>
              <w:t xml:space="preserve">Camarades </w:t>
            </w:r>
          </w:p>
        </w:tc>
        <w:tc>
          <w:tcPr>
            <w:tcW w:w="1093" w:type="dxa"/>
            <w:tcBorders>
              <w:right w:val="single" w:sz="4" w:space="0" w:color="auto"/>
            </w:tcBorders>
          </w:tcPr>
          <w:p w:rsidR="006158FF" w:rsidRPr="00160032" w:rsidRDefault="006158FF" w:rsidP="00F0458B">
            <w:pPr>
              <w:pStyle w:val="Corpsdetexte"/>
              <w:jc w:val="center"/>
              <w:rPr>
                <w:rFonts w:ascii="Arial" w:hAnsi="Arial" w:cs="Arial"/>
                <w:sz w:val="20"/>
                <w:szCs w:val="20"/>
                <w:lang w:val="en-US"/>
              </w:rPr>
            </w:pPr>
            <w:r w:rsidRPr="009B7E3D">
              <w:rPr>
                <w:rFonts w:ascii="Arial" w:hAnsi="Arial" w:cs="Arial"/>
                <w:sz w:val="20"/>
                <w:szCs w:val="20"/>
                <w:lang w:val="en-US"/>
              </w:rPr>
              <w:t>16.85%</w:t>
            </w:r>
          </w:p>
        </w:tc>
        <w:tc>
          <w:tcPr>
            <w:tcW w:w="1269" w:type="dxa"/>
            <w:tcBorders>
              <w:left w:val="single" w:sz="4" w:space="0" w:color="auto"/>
              <w:right w:val="single" w:sz="4" w:space="0" w:color="auto"/>
            </w:tcBorders>
          </w:tcPr>
          <w:p w:rsidR="006158FF" w:rsidRPr="00160032" w:rsidRDefault="006158FF" w:rsidP="00F0458B">
            <w:pPr>
              <w:pStyle w:val="Corpsdetexte"/>
              <w:jc w:val="center"/>
              <w:rPr>
                <w:rFonts w:ascii="Arial" w:hAnsi="Arial" w:cs="Arial"/>
                <w:sz w:val="20"/>
                <w:szCs w:val="20"/>
                <w:lang w:val="en-US"/>
              </w:rPr>
            </w:pPr>
            <w:r w:rsidRPr="009B7E3D">
              <w:rPr>
                <w:rFonts w:ascii="Arial" w:hAnsi="Arial" w:cs="Arial"/>
                <w:sz w:val="20"/>
                <w:szCs w:val="20"/>
                <w:lang w:val="en-US"/>
              </w:rPr>
              <w:t>6.10%</w:t>
            </w:r>
          </w:p>
        </w:tc>
        <w:tc>
          <w:tcPr>
            <w:tcW w:w="895" w:type="dxa"/>
            <w:tcBorders>
              <w:left w:val="single" w:sz="4" w:space="0" w:color="auto"/>
            </w:tcBorders>
          </w:tcPr>
          <w:p w:rsidR="006158FF" w:rsidRPr="00160032" w:rsidRDefault="006158FF" w:rsidP="00F0458B">
            <w:pPr>
              <w:pStyle w:val="Corpsdetexte"/>
              <w:jc w:val="center"/>
              <w:rPr>
                <w:rFonts w:ascii="Arial" w:hAnsi="Arial" w:cs="Arial"/>
                <w:sz w:val="20"/>
                <w:szCs w:val="20"/>
                <w:lang w:val="en-US"/>
              </w:rPr>
            </w:pPr>
            <w:r w:rsidRPr="009B7E3D">
              <w:rPr>
                <w:rFonts w:ascii="Arial" w:hAnsi="Arial" w:cs="Arial"/>
                <w:sz w:val="20"/>
                <w:szCs w:val="20"/>
                <w:lang w:val="en-US"/>
              </w:rPr>
              <w:t>77.05%</w:t>
            </w:r>
          </w:p>
        </w:tc>
        <w:tc>
          <w:tcPr>
            <w:tcW w:w="1256" w:type="dxa"/>
            <w:tcBorders>
              <w:right w:val="single" w:sz="4" w:space="0" w:color="auto"/>
            </w:tcBorders>
          </w:tcPr>
          <w:p w:rsidR="006158FF" w:rsidRPr="00160032" w:rsidRDefault="006158FF" w:rsidP="00F0458B">
            <w:pPr>
              <w:pStyle w:val="Corpsdetexte"/>
              <w:jc w:val="center"/>
              <w:rPr>
                <w:rFonts w:ascii="Arial" w:hAnsi="Arial" w:cs="Arial"/>
                <w:sz w:val="20"/>
                <w:szCs w:val="20"/>
                <w:lang w:val="en-US"/>
              </w:rPr>
            </w:pPr>
            <w:r w:rsidRPr="009B7E3D">
              <w:rPr>
                <w:rFonts w:ascii="Arial" w:hAnsi="Arial" w:cs="Arial"/>
                <w:sz w:val="20"/>
                <w:szCs w:val="20"/>
                <w:lang w:val="en-US"/>
              </w:rPr>
              <w:t>30.09%</w:t>
            </w:r>
          </w:p>
        </w:tc>
        <w:tc>
          <w:tcPr>
            <w:tcW w:w="1372" w:type="dxa"/>
            <w:tcBorders>
              <w:left w:val="single" w:sz="4" w:space="0" w:color="auto"/>
              <w:right w:val="single" w:sz="4" w:space="0" w:color="auto"/>
            </w:tcBorders>
          </w:tcPr>
          <w:p w:rsidR="006158FF" w:rsidRPr="00160032" w:rsidRDefault="006158FF" w:rsidP="00F0458B">
            <w:pPr>
              <w:pStyle w:val="Corpsdetexte"/>
              <w:jc w:val="center"/>
              <w:rPr>
                <w:rFonts w:ascii="Arial" w:hAnsi="Arial" w:cs="Arial"/>
                <w:sz w:val="20"/>
                <w:szCs w:val="20"/>
                <w:lang w:val="en-US"/>
              </w:rPr>
            </w:pPr>
            <w:r w:rsidRPr="009B7E3D">
              <w:rPr>
                <w:rFonts w:ascii="Arial" w:hAnsi="Arial" w:cs="Arial"/>
                <w:sz w:val="20"/>
                <w:szCs w:val="20"/>
                <w:lang w:val="en-US"/>
              </w:rPr>
              <w:t>8.04%</w:t>
            </w:r>
          </w:p>
        </w:tc>
        <w:tc>
          <w:tcPr>
            <w:tcW w:w="1412" w:type="dxa"/>
            <w:tcBorders>
              <w:left w:val="single" w:sz="4" w:space="0" w:color="auto"/>
            </w:tcBorders>
          </w:tcPr>
          <w:p w:rsidR="006158FF" w:rsidRPr="00160032" w:rsidRDefault="006158FF" w:rsidP="00F0458B">
            <w:pPr>
              <w:pStyle w:val="Corpsdetexte"/>
              <w:jc w:val="center"/>
              <w:rPr>
                <w:rFonts w:ascii="Arial" w:hAnsi="Arial" w:cs="Arial"/>
                <w:sz w:val="20"/>
                <w:szCs w:val="20"/>
                <w:lang w:val="en-US"/>
              </w:rPr>
            </w:pPr>
            <w:r w:rsidRPr="009B7E3D">
              <w:rPr>
                <w:rFonts w:ascii="Arial" w:hAnsi="Arial" w:cs="Arial"/>
                <w:sz w:val="20"/>
                <w:szCs w:val="20"/>
                <w:lang w:val="en-US"/>
              </w:rPr>
              <w:t>61.87%</w:t>
            </w:r>
          </w:p>
        </w:tc>
      </w:tr>
    </w:tbl>
    <w:p w:rsidR="006158FF" w:rsidRDefault="006158FF" w:rsidP="006158FF">
      <w:pPr>
        <w:jc w:val="both"/>
      </w:pPr>
    </w:p>
    <w:p w:rsidR="006158FF" w:rsidRDefault="006158FF" w:rsidP="006158FF">
      <w:pPr>
        <w:jc w:val="both"/>
      </w:pPr>
      <w:r>
        <w:t xml:space="preserve">      Sans surprise, les informateurs de l’USJ s’expriment légèrement plus en français que ceux de l’UL dans le cercle familial, entre amis (USJ 31%, UL 19.65%) et camarades (USJ : 30.0%, UL : 16.85). En général, le français est la langue qui permet de parler des domaines en rapport avec la culture occidentale : la littérature, l’éducation, les sciences et la mode. </w:t>
      </w:r>
    </w:p>
    <w:p w:rsidR="006158FF" w:rsidRDefault="006158FF" w:rsidP="006158FF">
      <w:pPr>
        <w:jc w:val="both"/>
        <w:rPr>
          <w:u w:val="single"/>
        </w:rPr>
      </w:pPr>
    </w:p>
    <w:p w:rsidR="006158FF" w:rsidRDefault="006158FF" w:rsidP="006158FF">
      <w:pPr>
        <w:pStyle w:val="Corpsdetexte"/>
        <w:rPr>
          <w:szCs w:val="23"/>
          <w:u w:val="single"/>
        </w:rPr>
      </w:pPr>
      <w:r w:rsidRPr="00431F6A">
        <w:rPr>
          <w:szCs w:val="23"/>
        </w:rPr>
        <w:t>5.2</w:t>
      </w:r>
      <w:r>
        <w:rPr>
          <w:szCs w:val="23"/>
          <w:u w:val="single"/>
        </w:rPr>
        <w:t xml:space="preserve"> Choix de la (les) langue(s) pour …</w:t>
      </w:r>
    </w:p>
    <w:p w:rsidR="006158FF" w:rsidRDefault="006158FF" w:rsidP="006158FF">
      <w:pPr>
        <w:pStyle w:val="Corpsdetexte"/>
        <w:rPr>
          <w:szCs w:val="23"/>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992"/>
        <w:gridCol w:w="992"/>
        <w:gridCol w:w="948"/>
        <w:gridCol w:w="895"/>
        <w:gridCol w:w="992"/>
        <w:gridCol w:w="905"/>
      </w:tblGrid>
      <w:tr w:rsidR="006158FF" w:rsidRPr="006158FF" w:rsidTr="00F0458B">
        <w:tc>
          <w:tcPr>
            <w:tcW w:w="2660" w:type="dxa"/>
            <w:vMerge w:val="restart"/>
            <w:tcBorders>
              <w:right w:val="single" w:sz="4" w:space="0" w:color="auto"/>
            </w:tcBorders>
          </w:tcPr>
          <w:p w:rsidR="006158FF" w:rsidRPr="007772C6" w:rsidRDefault="006158FF" w:rsidP="00F0458B">
            <w:pPr>
              <w:pStyle w:val="Corpsdetexte"/>
              <w:rPr>
                <w:sz w:val="20"/>
                <w:szCs w:val="20"/>
                <w:u w:val="single"/>
              </w:rPr>
            </w:pPr>
          </w:p>
        </w:tc>
        <w:tc>
          <w:tcPr>
            <w:tcW w:w="2932" w:type="dxa"/>
            <w:gridSpan w:val="3"/>
            <w:tcBorders>
              <w:right w:val="single" w:sz="4" w:space="0" w:color="auto"/>
            </w:tcBorders>
          </w:tcPr>
          <w:p w:rsidR="006158FF" w:rsidRPr="007772C6" w:rsidRDefault="006158FF" w:rsidP="00F0458B">
            <w:pPr>
              <w:pStyle w:val="Corpsdetexte"/>
              <w:jc w:val="center"/>
              <w:rPr>
                <w:b/>
                <w:sz w:val="20"/>
                <w:szCs w:val="20"/>
              </w:rPr>
            </w:pPr>
            <w:r w:rsidRPr="007772C6">
              <w:rPr>
                <w:b/>
                <w:sz w:val="20"/>
                <w:szCs w:val="20"/>
              </w:rPr>
              <w:t xml:space="preserve">UL </w:t>
            </w:r>
          </w:p>
        </w:tc>
        <w:tc>
          <w:tcPr>
            <w:tcW w:w="2792" w:type="dxa"/>
            <w:gridSpan w:val="3"/>
            <w:tcBorders>
              <w:left w:val="single" w:sz="4" w:space="0" w:color="auto"/>
            </w:tcBorders>
          </w:tcPr>
          <w:p w:rsidR="006158FF" w:rsidRPr="007772C6" w:rsidRDefault="006158FF" w:rsidP="00F0458B">
            <w:pPr>
              <w:pStyle w:val="Corpsdetexte"/>
              <w:jc w:val="center"/>
              <w:rPr>
                <w:b/>
                <w:sz w:val="20"/>
                <w:szCs w:val="20"/>
              </w:rPr>
            </w:pPr>
            <w:r w:rsidRPr="007772C6">
              <w:rPr>
                <w:b/>
                <w:sz w:val="20"/>
                <w:szCs w:val="20"/>
              </w:rPr>
              <w:t>USJ</w:t>
            </w:r>
          </w:p>
        </w:tc>
      </w:tr>
      <w:tr w:rsidR="006158FF" w:rsidRPr="006158FF" w:rsidTr="00F0458B">
        <w:tc>
          <w:tcPr>
            <w:tcW w:w="2660" w:type="dxa"/>
            <w:vMerge/>
            <w:tcBorders>
              <w:right w:val="single" w:sz="4" w:space="0" w:color="auto"/>
            </w:tcBorders>
          </w:tcPr>
          <w:p w:rsidR="006158FF" w:rsidRPr="007772C6" w:rsidRDefault="006158FF" w:rsidP="00F0458B">
            <w:pPr>
              <w:pStyle w:val="Corpsdetexte"/>
              <w:rPr>
                <w:sz w:val="20"/>
                <w:szCs w:val="20"/>
              </w:rPr>
            </w:pPr>
          </w:p>
        </w:tc>
        <w:tc>
          <w:tcPr>
            <w:tcW w:w="992" w:type="dxa"/>
            <w:tcBorders>
              <w:right w:val="single" w:sz="4" w:space="0" w:color="auto"/>
            </w:tcBorders>
          </w:tcPr>
          <w:p w:rsidR="006158FF" w:rsidRPr="007772C6" w:rsidRDefault="006158FF" w:rsidP="00F0458B">
            <w:pPr>
              <w:pStyle w:val="Corpsdetexte"/>
              <w:jc w:val="center"/>
              <w:rPr>
                <w:sz w:val="20"/>
                <w:szCs w:val="20"/>
              </w:rPr>
            </w:pPr>
            <w:r w:rsidRPr="007772C6">
              <w:rPr>
                <w:sz w:val="20"/>
                <w:szCs w:val="20"/>
              </w:rPr>
              <w:t>français</w:t>
            </w:r>
          </w:p>
        </w:tc>
        <w:tc>
          <w:tcPr>
            <w:tcW w:w="992" w:type="dxa"/>
            <w:tcBorders>
              <w:right w:val="single" w:sz="4" w:space="0" w:color="auto"/>
            </w:tcBorders>
          </w:tcPr>
          <w:p w:rsidR="006158FF" w:rsidRPr="007772C6" w:rsidRDefault="006158FF" w:rsidP="00F0458B">
            <w:pPr>
              <w:pStyle w:val="Corpsdetexte"/>
              <w:jc w:val="center"/>
              <w:rPr>
                <w:sz w:val="20"/>
                <w:szCs w:val="20"/>
              </w:rPr>
            </w:pPr>
            <w:r w:rsidRPr="007772C6">
              <w:rPr>
                <w:sz w:val="20"/>
                <w:szCs w:val="20"/>
              </w:rPr>
              <w:t>anglais</w:t>
            </w:r>
          </w:p>
        </w:tc>
        <w:tc>
          <w:tcPr>
            <w:tcW w:w="948" w:type="dxa"/>
            <w:tcBorders>
              <w:right w:val="single" w:sz="4" w:space="0" w:color="auto"/>
            </w:tcBorders>
          </w:tcPr>
          <w:p w:rsidR="006158FF" w:rsidRPr="007772C6" w:rsidRDefault="006158FF" w:rsidP="00F0458B">
            <w:pPr>
              <w:pStyle w:val="Corpsdetexte"/>
              <w:jc w:val="center"/>
              <w:rPr>
                <w:sz w:val="20"/>
                <w:szCs w:val="20"/>
                <w:u w:val="single"/>
              </w:rPr>
            </w:pPr>
            <w:r w:rsidRPr="007772C6">
              <w:rPr>
                <w:sz w:val="20"/>
                <w:szCs w:val="20"/>
              </w:rPr>
              <w:t>arabe</w:t>
            </w:r>
          </w:p>
        </w:tc>
        <w:tc>
          <w:tcPr>
            <w:tcW w:w="895"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7772C6">
              <w:rPr>
                <w:sz w:val="20"/>
                <w:szCs w:val="20"/>
              </w:rPr>
              <w:t>français</w:t>
            </w:r>
          </w:p>
        </w:tc>
        <w:tc>
          <w:tcPr>
            <w:tcW w:w="992"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7772C6">
              <w:rPr>
                <w:sz w:val="20"/>
                <w:szCs w:val="20"/>
              </w:rPr>
              <w:t>anglais</w:t>
            </w:r>
          </w:p>
        </w:tc>
        <w:tc>
          <w:tcPr>
            <w:tcW w:w="905" w:type="dxa"/>
            <w:tcBorders>
              <w:left w:val="single" w:sz="4" w:space="0" w:color="auto"/>
            </w:tcBorders>
          </w:tcPr>
          <w:p w:rsidR="006158FF" w:rsidRPr="007772C6" w:rsidRDefault="006158FF" w:rsidP="00F0458B">
            <w:pPr>
              <w:pStyle w:val="Corpsdetexte"/>
              <w:jc w:val="center"/>
              <w:rPr>
                <w:sz w:val="20"/>
                <w:szCs w:val="20"/>
                <w:u w:val="single"/>
              </w:rPr>
            </w:pPr>
            <w:r w:rsidRPr="007772C6">
              <w:rPr>
                <w:sz w:val="20"/>
                <w:szCs w:val="20"/>
              </w:rPr>
              <w:t>arabe</w:t>
            </w:r>
          </w:p>
        </w:tc>
      </w:tr>
      <w:tr w:rsidR="006158FF" w:rsidRPr="006158FF" w:rsidTr="00F0458B">
        <w:tc>
          <w:tcPr>
            <w:tcW w:w="2660" w:type="dxa"/>
            <w:tcBorders>
              <w:right w:val="single" w:sz="4" w:space="0" w:color="auto"/>
            </w:tcBorders>
          </w:tcPr>
          <w:p w:rsidR="006158FF" w:rsidRPr="007772C6" w:rsidRDefault="006158FF" w:rsidP="00F0458B">
            <w:pPr>
              <w:pStyle w:val="Corpsdetexte"/>
              <w:rPr>
                <w:sz w:val="20"/>
                <w:szCs w:val="20"/>
              </w:rPr>
            </w:pPr>
            <w:r>
              <w:rPr>
                <w:sz w:val="20"/>
                <w:szCs w:val="20"/>
              </w:rPr>
              <w:t>- c</w:t>
            </w:r>
            <w:r w:rsidRPr="007772C6">
              <w:rPr>
                <w:sz w:val="20"/>
                <w:szCs w:val="20"/>
              </w:rPr>
              <w:t xml:space="preserve">onsulter  des ouvrages </w:t>
            </w:r>
          </w:p>
        </w:tc>
        <w:tc>
          <w:tcPr>
            <w:tcW w:w="992" w:type="dxa"/>
            <w:tcBorders>
              <w:right w:val="single" w:sz="4" w:space="0" w:color="auto"/>
            </w:tcBorders>
          </w:tcPr>
          <w:p w:rsidR="006158FF" w:rsidRPr="007772C6" w:rsidRDefault="006158FF" w:rsidP="00F0458B">
            <w:pPr>
              <w:pStyle w:val="Corpsdetexte"/>
              <w:jc w:val="center"/>
              <w:rPr>
                <w:sz w:val="20"/>
                <w:szCs w:val="20"/>
              </w:rPr>
            </w:pPr>
            <w:r w:rsidRPr="00F63EE1">
              <w:rPr>
                <w:rFonts w:ascii="Arial" w:hAnsi="Arial" w:cs="Arial"/>
                <w:sz w:val="20"/>
                <w:szCs w:val="20"/>
                <w:lang w:val="en-US"/>
              </w:rPr>
              <w:t>55.50%</w:t>
            </w:r>
          </w:p>
        </w:tc>
        <w:tc>
          <w:tcPr>
            <w:tcW w:w="992" w:type="dxa"/>
            <w:tcBorders>
              <w:right w:val="single" w:sz="4" w:space="0" w:color="auto"/>
            </w:tcBorders>
          </w:tcPr>
          <w:p w:rsidR="006158FF" w:rsidRPr="007772C6" w:rsidRDefault="006158FF" w:rsidP="00F0458B">
            <w:pPr>
              <w:pStyle w:val="Corpsdetexte"/>
              <w:jc w:val="center"/>
              <w:rPr>
                <w:sz w:val="20"/>
                <w:szCs w:val="20"/>
              </w:rPr>
            </w:pPr>
            <w:r w:rsidRPr="00F63EE1">
              <w:rPr>
                <w:rFonts w:ascii="Arial" w:hAnsi="Arial" w:cs="Arial"/>
                <w:sz w:val="20"/>
                <w:szCs w:val="20"/>
                <w:lang w:val="en-US"/>
              </w:rPr>
              <w:t>13.30%</w:t>
            </w:r>
          </w:p>
        </w:tc>
        <w:tc>
          <w:tcPr>
            <w:tcW w:w="948" w:type="dxa"/>
            <w:tcBorders>
              <w:right w:val="single" w:sz="4" w:space="0" w:color="auto"/>
            </w:tcBorders>
          </w:tcPr>
          <w:p w:rsidR="006158FF" w:rsidRPr="007772C6" w:rsidRDefault="006158FF" w:rsidP="00F0458B">
            <w:pPr>
              <w:pStyle w:val="Corpsdetexte"/>
              <w:jc w:val="center"/>
              <w:rPr>
                <w:sz w:val="20"/>
                <w:szCs w:val="20"/>
              </w:rPr>
            </w:pPr>
            <w:r w:rsidRPr="00F63EE1">
              <w:rPr>
                <w:rFonts w:ascii="Arial" w:hAnsi="Arial" w:cs="Arial"/>
                <w:sz w:val="20"/>
                <w:szCs w:val="20"/>
                <w:lang w:val="en-US"/>
              </w:rPr>
              <w:t>31.19%</w:t>
            </w:r>
          </w:p>
        </w:tc>
        <w:tc>
          <w:tcPr>
            <w:tcW w:w="895"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F63EE1">
              <w:rPr>
                <w:rFonts w:ascii="Arial" w:hAnsi="Arial" w:cs="Arial"/>
                <w:sz w:val="20"/>
                <w:szCs w:val="20"/>
                <w:lang w:val="en-US"/>
              </w:rPr>
              <w:t>68.09%</w:t>
            </w:r>
          </w:p>
        </w:tc>
        <w:tc>
          <w:tcPr>
            <w:tcW w:w="992"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F63EE1">
              <w:rPr>
                <w:rFonts w:ascii="Arial" w:hAnsi="Arial" w:cs="Arial"/>
                <w:sz w:val="20"/>
                <w:szCs w:val="20"/>
                <w:lang w:val="en-US"/>
              </w:rPr>
              <w:t>19.85%</w:t>
            </w:r>
          </w:p>
        </w:tc>
        <w:tc>
          <w:tcPr>
            <w:tcW w:w="905" w:type="dxa"/>
            <w:tcBorders>
              <w:left w:val="single" w:sz="4" w:space="0" w:color="auto"/>
            </w:tcBorders>
          </w:tcPr>
          <w:p w:rsidR="006158FF" w:rsidRPr="007772C6" w:rsidRDefault="006158FF" w:rsidP="00F0458B">
            <w:pPr>
              <w:pStyle w:val="Corpsdetexte"/>
              <w:jc w:val="center"/>
              <w:rPr>
                <w:sz w:val="20"/>
                <w:szCs w:val="20"/>
              </w:rPr>
            </w:pPr>
            <w:r w:rsidRPr="00F63EE1">
              <w:rPr>
                <w:rFonts w:ascii="Arial" w:hAnsi="Arial" w:cs="Arial"/>
                <w:sz w:val="20"/>
                <w:szCs w:val="20"/>
                <w:lang w:val="en-US"/>
              </w:rPr>
              <w:t>12.06%</w:t>
            </w:r>
          </w:p>
        </w:tc>
      </w:tr>
      <w:tr w:rsidR="006158FF" w:rsidRPr="006158FF" w:rsidTr="00F0458B">
        <w:tc>
          <w:tcPr>
            <w:tcW w:w="2660" w:type="dxa"/>
            <w:tcBorders>
              <w:right w:val="single" w:sz="4" w:space="0" w:color="auto"/>
            </w:tcBorders>
          </w:tcPr>
          <w:p w:rsidR="006158FF" w:rsidRPr="007772C6" w:rsidRDefault="006158FF" w:rsidP="00F0458B">
            <w:pPr>
              <w:pStyle w:val="Corpsdetexte"/>
              <w:rPr>
                <w:sz w:val="20"/>
                <w:szCs w:val="20"/>
              </w:rPr>
            </w:pPr>
            <w:r>
              <w:rPr>
                <w:sz w:val="20"/>
                <w:szCs w:val="20"/>
              </w:rPr>
              <w:t>- l</w:t>
            </w:r>
            <w:r w:rsidRPr="007772C6">
              <w:rPr>
                <w:sz w:val="20"/>
                <w:szCs w:val="20"/>
              </w:rPr>
              <w:t xml:space="preserve">ire des </w:t>
            </w:r>
            <w:r>
              <w:rPr>
                <w:sz w:val="20"/>
                <w:szCs w:val="20"/>
              </w:rPr>
              <w:t>j</w:t>
            </w:r>
            <w:r w:rsidRPr="007772C6">
              <w:rPr>
                <w:sz w:val="20"/>
                <w:szCs w:val="20"/>
              </w:rPr>
              <w:t>ournaux/ revues</w:t>
            </w:r>
          </w:p>
        </w:tc>
        <w:tc>
          <w:tcPr>
            <w:tcW w:w="992" w:type="dxa"/>
            <w:tcBorders>
              <w:right w:val="single" w:sz="4" w:space="0" w:color="auto"/>
            </w:tcBorders>
          </w:tcPr>
          <w:p w:rsidR="006158FF" w:rsidRPr="007772C6" w:rsidRDefault="006158FF" w:rsidP="00F0458B">
            <w:pPr>
              <w:pStyle w:val="Corpsdetexte"/>
              <w:jc w:val="center"/>
              <w:rPr>
                <w:sz w:val="20"/>
                <w:szCs w:val="20"/>
              </w:rPr>
            </w:pPr>
            <w:r w:rsidRPr="00602292">
              <w:rPr>
                <w:rFonts w:ascii="Arial" w:hAnsi="Arial" w:cs="Arial"/>
                <w:sz w:val="20"/>
                <w:szCs w:val="20"/>
                <w:lang w:val="en-US"/>
              </w:rPr>
              <w:t>44.32%</w:t>
            </w:r>
          </w:p>
        </w:tc>
        <w:tc>
          <w:tcPr>
            <w:tcW w:w="992" w:type="dxa"/>
            <w:tcBorders>
              <w:right w:val="single" w:sz="4" w:space="0" w:color="auto"/>
            </w:tcBorders>
          </w:tcPr>
          <w:p w:rsidR="006158FF" w:rsidRPr="007772C6" w:rsidRDefault="006158FF" w:rsidP="00F0458B">
            <w:pPr>
              <w:pStyle w:val="Corpsdetexte"/>
              <w:jc w:val="center"/>
              <w:rPr>
                <w:sz w:val="20"/>
                <w:szCs w:val="20"/>
              </w:rPr>
            </w:pPr>
            <w:r w:rsidRPr="00602292">
              <w:rPr>
                <w:rFonts w:ascii="Arial" w:hAnsi="Arial" w:cs="Arial"/>
                <w:sz w:val="20"/>
                <w:szCs w:val="20"/>
                <w:lang w:val="en-US"/>
              </w:rPr>
              <w:t>13.00%</w:t>
            </w:r>
          </w:p>
        </w:tc>
        <w:tc>
          <w:tcPr>
            <w:tcW w:w="948" w:type="dxa"/>
            <w:tcBorders>
              <w:right w:val="single" w:sz="4" w:space="0" w:color="auto"/>
            </w:tcBorders>
          </w:tcPr>
          <w:p w:rsidR="006158FF" w:rsidRPr="007772C6" w:rsidRDefault="006158FF" w:rsidP="00F0458B">
            <w:pPr>
              <w:pStyle w:val="Corpsdetexte"/>
              <w:jc w:val="center"/>
              <w:rPr>
                <w:sz w:val="20"/>
                <w:szCs w:val="20"/>
              </w:rPr>
            </w:pPr>
            <w:r w:rsidRPr="00602292">
              <w:rPr>
                <w:rFonts w:ascii="Arial" w:hAnsi="Arial" w:cs="Arial"/>
                <w:sz w:val="20"/>
                <w:szCs w:val="20"/>
                <w:lang w:val="en-US"/>
              </w:rPr>
              <w:t>42.68%</w:t>
            </w:r>
          </w:p>
        </w:tc>
        <w:tc>
          <w:tcPr>
            <w:tcW w:w="895"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602292">
              <w:rPr>
                <w:rFonts w:ascii="Arial" w:hAnsi="Arial" w:cs="Arial"/>
                <w:sz w:val="20"/>
                <w:szCs w:val="20"/>
                <w:lang w:val="en-US"/>
              </w:rPr>
              <w:t>53.51%</w:t>
            </w:r>
          </w:p>
        </w:tc>
        <w:tc>
          <w:tcPr>
            <w:tcW w:w="992"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602292">
              <w:rPr>
                <w:rFonts w:ascii="Arial" w:hAnsi="Arial" w:cs="Arial"/>
                <w:sz w:val="20"/>
                <w:szCs w:val="20"/>
                <w:lang w:val="en-US"/>
              </w:rPr>
              <w:t>21.86%</w:t>
            </w:r>
          </w:p>
        </w:tc>
        <w:tc>
          <w:tcPr>
            <w:tcW w:w="905" w:type="dxa"/>
            <w:tcBorders>
              <w:left w:val="single" w:sz="4" w:space="0" w:color="auto"/>
            </w:tcBorders>
          </w:tcPr>
          <w:p w:rsidR="006158FF" w:rsidRPr="007772C6" w:rsidRDefault="006158FF" w:rsidP="00F0458B">
            <w:pPr>
              <w:pStyle w:val="Corpsdetexte"/>
              <w:jc w:val="center"/>
              <w:rPr>
                <w:sz w:val="20"/>
                <w:szCs w:val="20"/>
              </w:rPr>
            </w:pPr>
            <w:r w:rsidRPr="00602292">
              <w:rPr>
                <w:rFonts w:ascii="Arial" w:hAnsi="Arial" w:cs="Arial"/>
                <w:sz w:val="20"/>
                <w:szCs w:val="20"/>
                <w:lang w:val="en-US"/>
              </w:rPr>
              <w:t>24.63%</w:t>
            </w:r>
          </w:p>
        </w:tc>
      </w:tr>
      <w:tr w:rsidR="006158FF" w:rsidRPr="006158FF" w:rsidTr="00F0458B">
        <w:tc>
          <w:tcPr>
            <w:tcW w:w="2660" w:type="dxa"/>
            <w:tcBorders>
              <w:right w:val="single" w:sz="4" w:space="0" w:color="auto"/>
            </w:tcBorders>
          </w:tcPr>
          <w:p w:rsidR="006158FF" w:rsidRPr="007772C6" w:rsidRDefault="006158FF" w:rsidP="00F0458B">
            <w:pPr>
              <w:pStyle w:val="Corpsdetexte"/>
              <w:rPr>
                <w:sz w:val="20"/>
                <w:szCs w:val="20"/>
              </w:rPr>
            </w:pPr>
            <w:r>
              <w:rPr>
                <w:sz w:val="20"/>
                <w:szCs w:val="20"/>
              </w:rPr>
              <w:t>- prendre des notes</w:t>
            </w:r>
          </w:p>
        </w:tc>
        <w:tc>
          <w:tcPr>
            <w:tcW w:w="992" w:type="dxa"/>
            <w:tcBorders>
              <w:right w:val="single" w:sz="4" w:space="0" w:color="auto"/>
            </w:tcBorders>
          </w:tcPr>
          <w:p w:rsidR="006158FF" w:rsidRPr="007772C6" w:rsidRDefault="006158FF" w:rsidP="00F0458B">
            <w:pPr>
              <w:pStyle w:val="Corpsdetexte"/>
              <w:jc w:val="center"/>
              <w:rPr>
                <w:sz w:val="20"/>
                <w:szCs w:val="20"/>
              </w:rPr>
            </w:pPr>
            <w:r w:rsidRPr="00B655AC">
              <w:rPr>
                <w:rFonts w:ascii="Arial" w:hAnsi="Arial" w:cs="Arial"/>
                <w:sz w:val="20"/>
                <w:szCs w:val="20"/>
                <w:lang w:val="en-US"/>
              </w:rPr>
              <w:t>62.61%</w:t>
            </w:r>
          </w:p>
        </w:tc>
        <w:tc>
          <w:tcPr>
            <w:tcW w:w="992" w:type="dxa"/>
            <w:tcBorders>
              <w:right w:val="single" w:sz="4" w:space="0" w:color="auto"/>
            </w:tcBorders>
          </w:tcPr>
          <w:p w:rsidR="006158FF" w:rsidRPr="007772C6" w:rsidRDefault="006158FF" w:rsidP="00F0458B">
            <w:pPr>
              <w:pStyle w:val="Corpsdetexte"/>
              <w:jc w:val="center"/>
              <w:rPr>
                <w:sz w:val="20"/>
                <w:szCs w:val="20"/>
              </w:rPr>
            </w:pPr>
            <w:r w:rsidRPr="00B655AC">
              <w:rPr>
                <w:rFonts w:ascii="Arial" w:hAnsi="Arial" w:cs="Arial"/>
                <w:sz w:val="20"/>
                <w:szCs w:val="20"/>
                <w:lang w:val="en-US"/>
              </w:rPr>
              <w:t>11.03%</w:t>
            </w:r>
          </w:p>
        </w:tc>
        <w:tc>
          <w:tcPr>
            <w:tcW w:w="948" w:type="dxa"/>
            <w:tcBorders>
              <w:right w:val="single" w:sz="4" w:space="0" w:color="auto"/>
            </w:tcBorders>
          </w:tcPr>
          <w:p w:rsidR="006158FF" w:rsidRPr="007772C6" w:rsidRDefault="006158FF" w:rsidP="00F0458B">
            <w:pPr>
              <w:pStyle w:val="Corpsdetexte"/>
              <w:jc w:val="center"/>
              <w:rPr>
                <w:sz w:val="20"/>
                <w:szCs w:val="20"/>
              </w:rPr>
            </w:pPr>
            <w:r w:rsidRPr="00B655AC">
              <w:rPr>
                <w:rFonts w:ascii="Arial" w:hAnsi="Arial" w:cs="Arial"/>
                <w:sz w:val="20"/>
                <w:szCs w:val="20"/>
                <w:lang w:val="en-US"/>
              </w:rPr>
              <w:t>26.36%</w:t>
            </w:r>
          </w:p>
        </w:tc>
        <w:tc>
          <w:tcPr>
            <w:tcW w:w="895"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B655AC">
              <w:rPr>
                <w:rFonts w:ascii="Arial" w:hAnsi="Arial" w:cs="Arial"/>
                <w:sz w:val="20"/>
                <w:szCs w:val="20"/>
                <w:lang w:val="en-US"/>
              </w:rPr>
              <w:t>73.01%</w:t>
            </w:r>
          </w:p>
        </w:tc>
        <w:tc>
          <w:tcPr>
            <w:tcW w:w="992"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B655AC">
              <w:rPr>
                <w:rFonts w:ascii="Arial" w:hAnsi="Arial" w:cs="Arial"/>
                <w:sz w:val="20"/>
                <w:szCs w:val="20"/>
                <w:lang w:val="en-US"/>
              </w:rPr>
              <w:t>13.41%</w:t>
            </w:r>
          </w:p>
        </w:tc>
        <w:tc>
          <w:tcPr>
            <w:tcW w:w="905" w:type="dxa"/>
            <w:tcBorders>
              <w:left w:val="single" w:sz="4" w:space="0" w:color="auto"/>
            </w:tcBorders>
          </w:tcPr>
          <w:p w:rsidR="006158FF" w:rsidRPr="007772C6" w:rsidRDefault="006158FF" w:rsidP="00F0458B">
            <w:pPr>
              <w:pStyle w:val="Corpsdetexte"/>
              <w:jc w:val="center"/>
              <w:rPr>
                <w:sz w:val="20"/>
                <w:szCs w:val="20"/>
              </w:rPr>
            </w:pPr>
            <w:r w:rsidRPr="00B655AC">
              <w:rPr>
                <w:rFonts w:ascii="Arial" w:hAnsi="Arial" w:cs="Arial"/>
                <w:sz w:val="20"/>
                <w:szCs w:val="20"/>
                <w:lang w:val="en-US"/>
              </w:rPr>
              <w:t>13.59%</w:t>
            </w:r>
          </w:p>
        </w:tc>
      </w:tr>
      <w:tr w:rsidR="006158FF" w:rsidRPr="006158FF" w:rsidTr="00F0458B">
        <w:tc>
          <w:tcPr>
            <w:tcW w:w="2660" w:type="dxa"/>
            <w:tcBorders>
              <w:right w:val="single" w:sz="4" w:space="0" w:color="auto"/>
            </w:tcBorders>
          </w:tcPr>
          <w:p w:rsidR="006158FF" w:rsidRPr="007772C6" w:rsidRDefault="006158FF" w:rsidP="00F0458B">
            <w:pPr>
              <w:pStyle w:val="Corpsdetexte"/>
              <w:rPr>
                <w:sz w:val="20"/>
                <w:szCs w:val="20"/>
              </w:rPr>
            </w:pPr>
            <w:r>
              <w:rPr>
                <w:sz w:val="20"/>
                <w:szCs w:val="20"/>
              </w:rPr>
              <w:t xml:space="preserve">- faire un projet de  recherche </w:t>
            </w:r>
          </w:p>
        </w:tc>
        <w:tc>
          <w:tcPr>
            <w:tcW w:w="992" w:type="dxa"/>
            <w:tcBorders>
              <w:right w:val="single" w:sz="4" w:space="0" w:color="auto"/>
            </w:tcBorders>
          </w:tcPr>
          <w:p w:rsidR="006158FF" w:rsidRPr="007772C6" w:rsidRDefault="006158FF" w:rsidP="00F0458B">
            <w:pPr>
              <w:pStyle w:val="Corpsdetexte"/>
              <w:jc w:val="center"/>
              <w:rPr>
                <w:sz w:val="20"/>
                <w:szCs w:val="20"/>
              </w:rPr>
            </w:pPr>
            <w:r w:rsidRPr="00B44FBF">
              <w:rPr>
                <w:rFonts w:ascii="Arial" w:hAnsi="Arial" w:cs="Arial"/>
                <w:sz w:val="20"/>
                <w:szCs w:val="20"/>
                <w:lang w:val="en-US"/>
              </w:rPr>
              <w:t>66.81%</w:t>
            </w:r>
          </w:p>
        </w:tc>
        <w:tc>
          <w:tcPr>
            <w:tcW w:w="992" w:type="dxa"/>
            <w:tcBorders>
              <w:right w:val="single" w:sz="4" w:space="0" w:color="auto"/>
            </w:tcBorders>
          </w:tcPr>
          <w:p w:rsidR="006158FF" w:rsidRPr="007772C6" w:rsidRDefault="006158FF" w:rsidP="00F0458B">
            <w:pPr>
              <w:pStyle w:val="Corpsdetexte"/>
              <w:jc w:val="center"/>
              <w:rPr>
                <w:sz w:val="20"/>
                <w:szCs w:val="20"/>
              </w:rPr>
            </w:pPr>
            <w:r w:rsidRPr="00B44FBF">
              <w:rPr>
                <w:rFonts w:ascii="Arial" w:hAnsi="Arial" w:cs="Arial"/>
                <w:sz w:val="20"/>
                <w:szCs w:val="20"/>
                <w:lang w:val="en-US"/>
              </w:rPr>
              <w:t>10.96%</w:t>
            </w:r>
          </w:p>
        </w:tc>
        <w:tc>
          <w:tcPr>
            <w:tcW w:w="948" w:type="dxa"/>
            <w:tcBorders>
              <w:right w:val="single" w:sz="4" w:space="0" w:color="auto"/>
            </w:tcBorders>
          </w:tcPr>
          <w:p w:rsidR="006158FF" w:rsidRPr="007772C6" w:rsidRDefault="006158FF" w:rsidP="00F0458B">
            <w:pPr>
              <w:pStyle w:val="Corpsdetexte"/>
              <w:jc w:val="center"/>
              <w:rPr>
                <w:sz w:val="20"/>
                <w:szCs w:val="20"/>
              </w:rPr>
            </w:pPr>
            <w:r w:rsidRPr="00B44FBF">
              <w:rPr>
                <w:rFonts w:ascii="Arial" w:hAnsi="Arial" w:cs="Arial"/>
                <w:sz w:val="20"/>
                <w:szCs w:val="20"/>
                <w:lang w:val="en-US"/>
              </w:rPr>
              <w:t>22.22%</w:t>
            </w:r>
          </w:p>
        </w:tc>
        <w:tc>
          <w:tcPr>
            <w:tcW w:w="895"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B44FBF">
              <w:rPr>
                <w:rFonts w:ascii="Arial" w:hAnsi="Arial" w:cs="Arial"/>
                <w:sz w:val="20"/>
                <w:szCs w:val="20"/>
                <w:lang w:val="en-US"/>
              </w:rPr>
              <w:t>72.91%</w:t>
            </w:r>
          </w:p>
        </w:tc>
        <w:tc>
          <w:tcPr>
            <w:tcW w:w="992"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B44FBF">
              <w:rPr>
                <w:rFonts w:ascii="Arial" w:hAnsi="Arial" w:cs="Arial"/>
                <w:sz w:val="20"/>
                <w:szCs w:val="20"/>
                <w:lang w:val="en-US"/>
              </w:rPr>
              <w:t>21.39%</w:t>
            </w:r>
          </w:p>
        </w:tc>
        <w:tc>
          <w:tcPr>
            <w:tcW w:w="905" w:type="dxa"/>
            <w:tcBorders>
              <w:left w:val="single" w:sz="4" w:space="0" w:color="auto"/>
            </w:tcBorders>
          </w:tcPr>
          <w:p w:rsidR="006158FF" w:rsidRPr="007772C6" w:rsidRDefault="006158FF" w:rsidP="00F0458B">
            <w:pPr>
              <w:pStyle w:val="Corpsdetexte"/>
              <w:jc w:val="center"/>
              <w:rPr>
                <w:sz w:val="20"/>
                <w:szCs w:val="20"/>
              </w:rPr>
            </w:pPr>
            <w:r w:rsidRPr="00B44FBF">
              <w:rPr>
                <w:rFonts w:ascii="Arial" w:hAnsi="Arial" w:cs="Arial"/>
                <w:sz w:val="20"/>
                <w:szCs w:val="20"/>
                <w:lang w:val="en-US"/>
              </w:rPr>
              <w:t>5.70%</w:t>
            </w:r>
          </w:p>
        </w:tc>
      </w:tr>
      <w:tr w:rsidR="006158FF" w:rsidRPr="006158FF" w:rsidTr="00F0458B">
        <w:tc>
          <w:tcPr>
            <w:tcW w:w="2660" w:type="dxa"/>
            <w:tcBorders>
              <w:right w:val="single" w:sz="4" w:space="0" w:color="auto"/>
            </w:tcBorders>
          </w:tcPr>
          <w:p w:rsidR="006158FF" w:rsidRDefault="006158FF" w:rsidP="00F0458B">
            <w:pPr>
              <w:pStyle w:val="Corpsdetexte"/>
              <w:rPr>
                <w:sz w:val="20"/>
                <w:szCs w:val="20"/>
              </w:rPr>
            </w:pPr>
            <w:r>
              <w:rPr>
                <w:sz w:val="20"/>
                <w:szCs w:val="20"/>
              </w:rPr>
              <w:t>é</w:t>
            </w:r>
            <w:r w:rsidRPr="007772C6">
              <w:rPr>
                <w:sz w:val="20"/>
                <w:szCs w:val="20"/>
              </w:rPr>
              <w:t>couter des chansons</w:t>
            </w:r>
          </w:p>
        </w:tc>
        <w:tc>
          <w:tcPr>
            <w:tcW w:w="992" w:type="dxa"/>
            <w:tcBorders>
              <w:right w:val="single" w:sz="4" w:space="0" w:color="auto"/>
            </w:tcBorders>
          </w:tcPr>
          <w:p w:rsidR="006158FF" w:rsidRPr="007772C6" w:rsidRDefault="006158FF" w:rsidP="00F0458B">
            <w:pPr>
              <w:pStyle w:val="Corpsdetexte"/>
              <w:jc w:val="center"/>
              <w:rPr>
                <w:sz w:val="20"/>
                <w:szCs w:val="20"/>
              </w:rPr>
            </w:pPr>
            <w:r w:rsidRPr="00761254">
              <w:rPr>
                <w:rFonts w:ascii="Arial" w:hAnsi="Arial" w:cs="Arial"/>
                <w:sz w:val="20"/>
                <w:szCs w:val="20"/>
                <w:lang w:val="en-US"/>
              </w:rPr>
              <w:t>26.64%</w:t>
            </w:r>
          </w:p>
        </w:tc>
        <w:tc>
          <w:tcPr>
            <w:tcW w:w="992" w:type="dxa"/>
            <w:tcBorders>
              <w:right w:val="single" w:sz="4" w:space="0" w:color="auto"/>
            </w:tcBorders>
          </w:tcPr>
          <w:p w:rsidR="006158FF" w:rsidRPr="007772C6" w:rsidRDefault="006158FF" w:rsidP="00F0458B">
            <w:pPr>
              <w:pStyle w:val="Corpsdetexte"/>
              <w:jc w:val="center"/>
              <w:rPr>
                <w:sz w:val="20"/>
                <w:szCs w:val="20"/>
              </w:rPr>
            </w:pPr>
            <w:r w:rsidRPr="00761254">
              <w:rPr>
                <w:rFonts w:ascii="Arial" w:hAnsi="Arial" w:cs="Arial"/>
                <w:sz w:val="20"/>
                <w:szCs w:val="20"/>
                <w:lang w:val="en-US"/>
              </w:rPr>
              <w:t>28.54%</w:t>
            </w:r>
          </w:p>
        </w:tc>
        <w:tc>
          <w:tcPr>
            <w:tcW w:w="948" w:type="dxa"/>
            <w:tcBorders>
              <w:right w:val="single" w:sz="4" w:space="0" w:color="auto"/>
            </w:tcBorders>
          </w:tcPr>
          <w:p w:rsidR="006158FF" w:rsidRPr="007772C6" w:rsidRDefault="006158FF" w:rsidP="00F0458B">
            <w:pPr>
              <w:pStyle w:val="Corpsdetexte"/>
              <w:jc w:val="center"/>
              <w:rPr>
                <w:sz w:val="20"/>
                <w:szCs w:val="20"/>
              </w:rPr>
            </w:pPr>
            <w:r w:rsidRPr="00761254">
              <w:rPr>
                <w:rFonts w:ascii="Arial" w:hAnsi="Arial" w:cs="Arial"/>
                <w:sz w:val="20"/>
                <w:szCs w:val="20"/>
                <w:lang w:val="en-US"/>
              </w:rPr>
              <w:t>44.82%</w:t>
            </w:r>
          </w:p>
        </w:tc>
        <w:tc>
          <w:tcPr>
            <w:tcW w:w="895"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761254">
              <w:rPr>
                <w:rFonts w:ascii="Arial" w:hAnsi="Arial" w:cs="Arial"/>
                <w:sz w:val="20"/>
                <w:szCs w:val="20"/>
                <w:lang w:val="en-US"/>
              </w:rPr>
              <w:t>33.13%</w:t>
            </w:r>
          </w:p>
        </w:tc>
        <w:tc>
          <w:tcPr>
            <w:tcW w:w="992"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761254">
              <w:rPr>
                <w:rFonts w:ascii="Arial" w:hAnsi="Arial" w:cs="Arial"/>
                <w:sz w:val="20"/>
                <w:szCs w:val="20"/>
                <w:lang w:val="en-US"/>
              </w:rPr>
              <w:t>35.31%</w:t>
            </w:r>
          </w:p>
        </w:tc>
        <w:tc>
          <w:tcPr>
            <w:tcW w:w="905" w:type="dxa"/>
            <w:tcBorders>
              <w:left w:val="single" w:sz="4" w:space="0" w:color="auto"/>
            </w:tcBorders>
          </w:tcPr>
          <w:p w:rsidR="006158FF" w:rsidRPr="007772C6" w:rsidRDefault="006158FF" w:rsidP="00F0458B">
            <w:pPr>
              <w:pStyle w:val="Corpsdetexte"/>
              <w:jc w:val="center"/>
              <w:rPr>
                <w:sz w:val="20"/>
                <w:szCs w:val="20"/>
              </w:rPr>
            </w:pPr>
            <w:r w:rsidRPr="00761254">
              <w:rPr>
                <w:rFonts w:ascii="Arial" w:hAnsi="Arial" w:cs="Arial"/>
                <w:sz w:val="20"/>
                <w:szCs w:val="20"/>
                <w:lang w:val="en-US"/>
              </w:rPr>
              <w:t>31.56%</w:t>
            </w:r>
          </w:p>
        </w:tc>
      </w:tr>
      <w:tr w:rsidR="006158FF" w:rsidRPr="006158FF" w:rsidTr="00F0458B">
        <w:tc>
          <w:tcPr>
            <w:tcW w:w="2660" w:type="dxa"/>
            <w:tcBorders>
              <w:right w:val="single" w:sz="4" w:space="0" w:color="auto"/>
            </w:tcBorders>
          </w:tcPr>
          <w:p w:rsidR="006158FF" w:rsidRPr="007772C6" w:rsidRDefault="006158FF" w:rsidP="00F0458B">
            <w:pPr>
              <w:pStyle w:val="Corpsdetexte"/>
              <w:rPr>
                <w:sz w:val="20"/>
                <w:szCs w:val="20"/>
              </w:rPr>
            </w:pPr>
            <w:r>
              <w:rPr>
                <w:sz w:val="20"/>
                <w:szCs w:val="20"/>
              </w:rPr>
              <w:t>- R</w:t>
            </w:r>
            <w:r w:rsidRPr="007772C6">
              <w:rPr>
                <w:sz w:val="20"/>
                <w:szCs w:val="20"/>
              </w:rPr>
              <w:t>egarder la télévision…</w:t>
            </w:r>
          </w:p>
        </w:tc>
        <w:tc>
          <w:tcPr>
            <w:tcW w:w="992" w:type="dxa"/>
            <w:tcBorders>
              <w:right w:val="single" w:sz="4" w:space="0" w:color="auto"/>
            </w:tcBorders>
          </w:tcPr>
          <w:p w:rsidR="006158FF" w:rsidRPr="007772C6" w:rsidRDefault="006158FF" w:rsidP="00F0458B">
            <w:pPr>
              <w:pStyle w:val="Corpsdetexte"/>
              <w:jc w:val="center"/>
              <w:rPr>
                <w:sz w:val="20"/>
                <w:szCs w:val="20"/>
              </w:rPr>
            </w:pPr>
            <w:r w:rsidRPr="00532F40">
              <w:rPr>
                <w:rFonts w:ascii="Arial" w:hAnsi="Arial" w:cs="Arial"/>
                <w:sz w:val="20"/>
                <w:szCs w:val="20"/>
                <w:lang w:val="en-US"/>
              </w:rPr>
              <w:t>23.14%</w:t>
            </w:r>
          </w:p>
        </w:tc>
        <w:tc>
          <w:tcPr>
            <w:tcW w:w="992" w:type="dxa"/>
            <w:tcBorders>
              <w:right w:val="single" w:sz="4" w:space="0" w:color="auto"/>
            </w:tcBorders>
          </w:tcPr>
          <w:p w:rsidR="006158FF" w:rsidRPr="007772C6" w:rsidRDefault="006158FF" w:rsidP="00F0458B">
            <w:pPr>
              <w:pStyle w:val="Corpsdetexte"/>
              <w:jc w:val="center"/>
              <w:rPr>
                <w:sz w:val="20"/>
                <w:szCs w:val="20"/>
              </w:rPr>
            </w:pPr>
            <w:r w:rsidRPr="00532F40">
              <w:rPr>
                <w:rFonts w:ascii="Arial" w:hAnsi="Arial" w:cs="Arial"/>
                <w:sz w:val="20"/>
                <w:szCs w:val="20"/>
                <w:lang w:val="en-US"/>
              </w:rPr>
              <w:t>32.56%</w:t>
            </w:r>
          </w:p>
        </w:tc>
        <w:tc>
          <w:tcPr>
            <w:tcW w:w="948" w:type="dxa"/>
            <w:tcBorders>
              <w:right w:val="single" w:sz="4" w:space="0" w:color="auto"/>
            </w:tcBorders>
          </w:tcPr>
          <w:p w:rsidR="006158FF" w:rsidRPr="007772C6" w:rsidRDefault="006158FF" w:rsidP="00F0458B">
            <w:pPr>
              <w:pStyle w:val="Corpsdetexte"/>
              <w:jc w:val="center"/>
              <w:rPr>
                <w:sz w:val="20"/>
                <w:szCs w:val="20"/>
              </w:rPr>
            </w:pPr>
            <w:r w:rsidRPr="00532F40">
              <w:rPr>
                <w:rFonts w:ascii="Arial" w:hAnsi="Arial" w:cs="Arial"/>
                <w:sz w:val="20"/>
                <w:szCs w:val="20"/>
                <w:lang w:val="en-US"/>
              </w:rPr>
              <w:t>44.30%</w:t>
            </w:r>
          </w:p>
        </w:tc>
        <w:tc>
          <w:tcPr>
            <w:tcW w:w="895"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532F40">
              <w:rPr>
                <w:rFonts w:ascii="Arial" w:hAnsi="Arial" w:cs="Arial"/>
                <w:sz w:val="20"/>
                <w:szCs w:val="20"/>
                <w:lang w:val="en-US"/>
              </w:rPr>
              <w:t>30.79%</w:t>
            </w:r>
          </w:p>
        </w:tc>
        <w:tc>
          <w:tcPr>
            <w:tcW w:w="992"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532F40">
              <w:rPr>
                <w:rFonts w:ascii="Arial" w:hAnsi="Arial" w:cs="Arial"/>
                <w:sz w:val="20"/>
                <w:szCs w:val="20"/>
                <w:lang w:val="en-US"/>
              </w:rPr>
              <w:t>36.30%</w:t>
            </w:r>
          </w:p>
        </w:tc>
        <w:tc>
          <w:tcPr>
            <w:tcW w:w="905" w:type="dxa"/>
            <w:tcBorders>
              <w:left w:val="single" w:sz="4" w:space="0" w:color="auto"/>
            </w:tcBorders>
          </w:tcPr>
          <w:p w:rsidR="006158FF" w:rsidRPr="007772C6" w:rsidRDefault="006158FF" w:rsidP="00F0458B">
            <w:pPr>
              <w:pStyle w:val="Corpsdetexte"/>
              <w:jc w:val="center"/>
              <w:rPr>
                <w:sz w:val="20"/>
                <w:szCs w:val="20"/>
              </w:rPr>
            </w:pPr>
            <w:r w:rsidRPr="00532F40">
              <w:rPr>
                <w:rFonts w:ascii="Arial" w:hAnsi="Arial" w:cs="Arial"/>
                <w:sz w:val="20"/>
                <w:szCs w:val="20"/>
                <w:lang w:val="en-US"/>
              </w:rPr>
              <w:t>32.91%</w:t>
            </w:r>
          </w:p>
        </w:tc>
      </w:tr>
      <w:tr w:rsidR="006158FF" w:rsidRPr="006158FF" w:rsidTr="00F0458B">
        <w:tc>
          <w:tcPr>
            <w:tcW w:w="2660" w:type="dxa"/>
            <w:tcBorders>
              <w:right w:val="single" w:sz="4" w:space="0" w:color="auto"/>
            </w:tcBorders>
          </w:tcPr>
          <w:p w:rsidR="006158FF" w:rsidRPr="007772C6" w:rsidRDefault="006158FF" w:rsidP="00F0458B">
            <w:pPr>
              <w:pStyle w:val="Corpsdetexte"/>
              <w:rPr>
                <w:sz w:val="20"/>
                <w:szCs w:val="20"/>
              </w:rPr>
            </w:pPr>
            <w:r>
              <w:rPr>
                <w:sz w:val="20"/>
                <w:szCs w:val="20"/>
              </w:rPr>
              <w:t xml:space="preserve">- surfer sur Internet </w:t>
            </w:r>
          </w:p>
        </w:tc>
        <w:tc>
          <w:tcPr>
            <w:tcW w:w="992" w:type="dxa"/>
            <w:tcBorders>
              <w:right w:val="single" w:sz="4" w:space="0" w:color="auto"/>
            </w:tcBorders>
          </w:tcPr>
          <w:p w:rsidR="006158FF" w:rsidRPr="007772C6" w:rsidRDefault="006158FF" w:rsidP="00F0458B">
            <w:pPr>
              <w:pStyle w:val="Corpsdetexte"/>
              <w:jc w:val="center"/>
              <w:rPr>
                <w:sz w:val="20"/>
                <w:szCs w:val="20"/>
              </w:rPr>
            </w:pPr>
            <w:r w:rsidRPr="00A76355">
              <w:rPr>
                <w:rFonts w:ascii="Arial" w:hAnsi="Arial" w:cs="Arial"/>
                <w:sz w:val="20"/>
                <w:szCs w:val="20"/>
                <w:lang w:val="en-US"/>
              </w:rPr>
              <w:t>30.17%</w:t>
            </w:r>
          </w:p>
        </w:tc>
        <w:tc>
          <w:tcPr>
            <w:tcW w:w="992" w:type="dxa"/>
            <w:tcBorders>
              <w:right w:val="single" w:sz="4" w:space="0" w:color="auto"/>
            </w:tcBorders>
          </w:tcPr>
          <w:p w:rsidR="006158FF" w:rsidRPr="007772C6" w:rsidRDefault="006158FF" w:rsidP="00F0458B">
            <w:pPr>
              <w:pStyle w:val="Corpsdetexte"/>
              <w:jc w:val="center"/>
              <w:rPr>
                <w:sz w:val="20"/>
                <w:szCs w:val="20"/>
              </w:rPr>
            </w:pPr>
            <w:r w:rsidRPr="00A76355">
              <w:rPr>
                <w:rFonts w:ascii="Arial" w:hAnsi="Arial" w:cs="Arial"/>
                <w:sz w:val="20"/>
                <w:szCs w:val="20"/>
                <w:lang w:val="en-US"/>
              </w:rPr>
              <w:t>53.79%</w:t>
            </w:r>
          </w:p>
        </w:tc>
        <w:tc>
          <w:tcPr>
            <w:tcW w:w="948" w:type="dxa"/>
            <w:tcBorders>
              <w:right w:val="single" w:sz="4" w:space="0" w:color="auto"/>
            </w:tcBorders>
          </w:tcPr>
          <w:p w:rsidR="006158FF" w:rsidRPr="007772C6" w:rsidRDefault="006158FF" w:rsidP="00F0458B">
            <w:pPr>
              <w:pStyle w:val="Corpsdetexte"/>
              <w:jc w:val="center"/>
              <w:rPr>
                <w:sz w:val="20"/>
                <w:szCs w:val="20"/>
              </w:rPr>
            </w:pPr>
            <w:r w:rsidRPr="00A76355">
              <w:rPr>
                <w:rFonts w:ascii="Arial" w:hAnsi="Arial" w:cs="Arial"/>
                <w:sz w:val="20"/>
                <w:szCs w:val="20"/>
                <w:lang w:val="en-US"/>
              </w:rPr>
              <w:t>16.03%</w:t>
            </w:r>
          </w:p>
        </w:tc>
        <w:tc>
          <w:tcPr>
            <w:tcW w:w="895"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A76355">
              <w:rPr>
                <w:rFonts w:ascii="Arial" w:hAnsi="Arial" w:cs="Arial"/>
                <w:sz w:val="20"/>
                <w:szCs w:val="20"/>
                <w:lang w:val="en-US"/>
              </w:rPr>
              <w:t>37.12%</w:t>
            </w:r>
          </w:p>
        </w:tc>
        <w:tc>
          <w:tcPr>
            <w:tcW w:w="992" w:type="dxa"/>
            <w:tcBorders>
              <w:left w:val="single" w:sz="4" w:space="0" w:color="auto"/>
              <w:right w:val="single" w:sz="4" w:space="0" w:color="auto"/>
            </w:tcBorders>
          </w:tcPr>
          <w:p w:rsidR="006158FF" w:rsidRPr="007772C6" w:rsidRDefault="006158FF" w:rsidP="00F0458B">
            <w:pPr>
              <w:pStyle w:val="Corpsdetexte"/>
              <w:jc w:val="center"/>
              <w:rPr>
                <w:sz w:val="20"/>
                <w:szCs w:val="20"/>
              </w:rPr>
            </w:pPr>
            <w:r w:rsidRPr="00A76355">
              <w:rPr>
                <w:rFonts w:ascii="Arial" w:hAnsi="Arial" w:cs="Arial"/>
                <w:sz w:val="20"/>
                <w:szCs w:val="20"/>
                <w:lang w:val="en-US"/>
              </w:rPr>
              <w:t>56.52%</w:t>
            </w:r>
          </w:p>
        </w:tc>
        <w:tc>
          <w:tcPr>
            <w:tcW w:w="905" w:type="dxa"/>
            <w:tcBorders>
              <w:left w:val="single" w:sz="4" w:space="0" w:color="auto"/>
            </w:tcBorders>
          </w:tcPr>
          <w:p w:rsidR="006158FF" w:rsidRPr="007772C6" w:rsidRDefault="006158FF" w:rsidP="00F0458B">
            <w:pPr>
              <w:pStyle w:val="Corpsdetexte"/>
              <w:jc w:val="center"/>
              <w:rPr>
                <w:sz w:val="20"/>
                <w:szCs w:val="20"/>
              </w:rPr>
            </w:pPr>
            <w:r w:rsidRPr="00A76355">
              <w:rPr>
                <w:rFonts w:ascii="Arial" w:hAnsi="Arial" w:cs="Arial"/>
                <w:sz w:val="20"/>
                <w:szCs w:val="20"/>
                <w:lang w:val="en-US"/>
              </w:rPr>
              <w:t>6.35%</w:t>
            </w:r>
          </w:p>
        </w:tc>
      </w:tr>
    </w:tbl>
    <w:p w:rsidR="006158FF" w:rsidRDefault="006158FF" w:rsidP="006158FF">
      <w:pPr>
        <w:jc w:val="both"/>
      </w:pPr>
    </w:p>
    <w:p w:rsidR="006158FF" w:rsidRDefault="006158FF" w:rsidP="006158FF">
      <w:pPr>
        <w:jc w:val="both"/>
      </w:pPr>
      <w:r>
        <w:t xml:space="preserve">     Les étudiants de l’USJ lisent davantage des ouvrages spécialisés en français (68.09%) que les étudiants de l’UL (55.50%) et se servent principalement de l’anglais pour se divertir (musique: 33.13%, programmes de télévision : 36.30%) et se connecter à Internet (56.52%). Si l’utilisation du français est concurrencée par celle de l’arabe, elle est dominée par celle de l’anglais dans les médias et les nouvelles technologies. </w:t>
      </w:r>
    </w:p>
    <w:p w:rsidR="006158FF" w:rsidRDefault="006158FF" w:rsidP="006158FF">
      <w:pPr>
        <w:jc w:val="both"/>
      </w:pPr>
    </w:p>
    <w:p w:rsidR="006158FF" w:rsidRDefault="006158FF" w:rsidP="006158FF">
      <w:pPr>
        <w:jc w:val="both"/>
      </w:pPr>
      <w:r>
        <w:t xml:space="preserve">     Sur un autre plan, les étudiants de l’USJ déclarent se sentir à l’aise en parlant le français (60.13%) plus que les étudiants de la section 1 de l’UL (35.6%) ou ceux de la section 2 (50.5%). L’anglais reste une langue neutre pour l’ensemble des enquêtés (en moyenne 32.49%). L’attitude favorable à l’égard du français se justifie par le fait que l’USJ est une institution francophone par excellence  tant au niveau administratif, académique. Ce cadre francophone porte ses fruits ne serait-ce que sur le plan psychologique. Etant souvent exposés au français au sein de l’université, les étudiants de l’USJ disent prendre la parole en français avec une certaine confiance en eux  bien qu’ils pensent ne pas très bien maîtriser la langue. </w:t>
      </w:r>
    </w:p>
    <w:p w:rsidR="006158FF" w:rsidRDefault="006158FF" w:rsidP="006158FF">
      <w:pPr>
        <w:jc w:val="both"/>
      </w:pPr>
    </w:p>
    <w:p w:rsidR="006158FF" w:rsidRDefault="006158FF" w:rsidP="006158FF">
      <w:pPr>
        <w:jc w:val="both"/>
        <w:outlineLvl w:val="0"/>
        <w:rPr>
          <w:szCs w:val="23"/>
          <w:u w:val="single"/>
        </w:rPr>
      </w:pPr>
      <w:r w:rsidRPr="00431F6A">
        <w:rPr>
          <w:szCs w:val="23"/>
        </w:rPr>
        <w:t>5.3</w:t>
      </w:r>
      <w:r>
        <w:rPr>
          <w:szCs w:val="23"/>
          <w:u w:val="single"/>
        </w:rPr>
        <w:t xml:space="preserve"> </w:t>
      </w:r>
      <w:r w:rsidRPr="007008AD">
        <w:rPr>
          <w:szCs w:val="23"/>
          <w:u w:val="single"/>
        </w:rPr>
        <w:t xml:space="preserve">Taux </w:t>
      </w:r>
      <w:r>
        <w:rPr>
          <w:szCs w:val="23"/>
          <w:u w:val="single"/>
        </w:rPr>
        <w:t>général de fréquence de l’</w:t>
      </w:r>
      <w:r w:rsidRPr="007008AD">
        <w:rPr>
          <w:szCs w:val="23"/>
          <w:u w:val="single"/>
        </w:rPr>
        <w:t>utilisation des langues en usage</w:t>
      </w:r>
      <w:r>
        <w:rPr>
          <w:szCs w:val="23"/>
          <w:u w:val="single"/>
        </w:rPr>
        <w:t xml:space="preserve"> au Liban : </w:t>
      </w:r>
    </w:p>
    <w:p w:rsidR="006158FF" w:rsidRPr="006F6C5C" w:rsidRDefault="006158FF" w:rsidP="006158FF">
      <w:pPr>
        <w:jc w:val="both"/>
        <w:outlineLvl w:val="0"/>
        <w:rPr>
          <w:szCs w:val="23"/>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0"/>
        <w:gridCol w:w="975"/>
        <w:gridCol w:w="1115"/>
        <w:gridCol w:w="1125"/>
        <w:gridCol w:w="965"/>
        <w:gridCol w:w="1110"/>
        <w:gridCol w:w="980"/>
      </w:tblGrid>
      <w:tr w:rsidR="006158FF" w:rsidRPr="006158FF" w:rsidTr="00F0458B">
        <w:tc>
          <w:tcPr>
            <w:tcW w:w="2090" w:type="dxa"/>
            <w:vMerge w:val="restart"/>
          </w:tcPr>
          <w:p w:rsidR="006158FF" w:rsidRPr="00BE087B" w:rsidRDefault="006158FF" w:rsidP="00F0458B">
            <w:pPr>
              <w:jc w:val="center"/>
              <w:outlineLvl w:val="0"/>
              <w:rPr>
                <w:sz w:val="20"/>
                <w:szCs w:val="20"/>
              </w:rPr>
            </w:pPr>
          </w:p>
        </w:tc>
        <w:tc>
          <w:tcPr>
            <w:tcW w:w="2090" w:type="dxa"/>
            <w:gridSpan w:val="2"/>
          </w:tcPr>
          <w:p w:rsidR="006158FF" w:rsidRPr="00BE087B" w:rsidRDefault="006158FF" w:rsidP="00F0458B">
            <w:pPr>
              <w:jc w:val="center"/>
              <w:outlineLvl w:val="0"/>
              <w:rPr>
                <w:sz w:val="20"/>
                <w:szCs w:val="20"/>
              </w:rPr>
            </w:pPr>
            <w:r w:rsidRPr="00BE087B">
              <w:rPr>
                <w:sz w:val="20"/>
                <w:szCs w:val="20"/>
              </w:rPr>
              <w:t>Français</w:t>
            </w:r>
          </w:p>
        </w:tc>
        <w:tc>
          <w:tcPr>
            <w:tcW w:w="2090" w:type="dxa"/>
            <w:gridSpan w:val="2"/>
          </w:tcPr>
          <w:p w:rsidR="006158FF" w:rsidRPr="00BE087B" w:rsidRDefault="006158FF" w:rsidP="00F0458B">
            <w:pPr>
              <w:jc w:val="center"/>
              <w:outlineLvl w:val="0"/>
              <w:rPr>
                <w:sz w:val="20"/>
                <w:szCs w:val="20"/>
              </w:rPr>
            </w:pPr>
            <w:r w:rsidRPr="00BE087B">
              <w:rPr>
                <w:sz w:val="20"/>
                <w:szCs w:val="20"/>
              </w:rPr>
              <w:t>Anglais</w:t>
            </w:r>
          </w:p>
        </w:tc>
        <w:tc>
          <w:tcPr>
            <w:tcW w:w="2090" w:type="dxa"/>
            <w:gridSpan w:val="2"/>
          </w:tcPr>
          <w:p w:rsidR="006158FF" w:rsidRPr="00BE087B" w:rsidRDefault="006158FF" w:rsidP="00F0458B">
            <w:pPr>
              <w:jc w:val="center"/>
              <w:outlineLvl w:val="0"/>
              <w:rPr>
                <w:sz w:val="20"/>
                <w:szCs w:val="20"/>
              </w:rPr>
            </w:pPr>
            <w:r w:rsidRPr="00BE087B">
              <w:rPr>
                <w:sz w:val="20"/>
                <w:szCs w:val="20"/>
              </w:rPr>
              <w:t>Arabe</w:t>
            </w:r>
          </w:p>
        </w:tc>
      </w:tr>
      <w:tr w:rsidR="006158FF" w:rsidRPr="006158FF" w:rsidTr="00F0458B">
        <w:tc>
          <w:tcPr>
            <w:tcW w:w="2090" w:type="dxa"/>
            <w:vMerge/>
          </w:tcPr>
          <w:p w:rsidR="006158FF" w:rsidRPr="00BE087B" w:rsidRDefault="006158FF" w:rsidP="00F0458B">
            <w:pPr>
              <w:jc w:val="center"/>
              <w:outlineLvl w:val="0"/>
              <w:rPr>
                <w:sz w:val="20"/>
                <w:szCs w:val="20"/>
              </w:rPr>
            </w:pPr>
          </w:p>
        </w:tc>
        <w:tc>
          <w:tcPr>
            <w:tcW w:w="975" w:type="dxa"/>
            <w:tcBorders>
              <w:right w:val="single" w:sz="4" w:space="0" w:color="auto"/>
            </w:tcBorders>
          </w:tcPr>
          <w:p w:rsidR="006158FF" w:rsidRPr="00BE087B" w:rsidRDefault="006158FF" w:rsidP="00F0458B">
            <w:pPr>
              <w:jc w:val="center"/>
              <w:outlineLvl w:val="0"/>
              <w:rPr>
                <w:sz w:val="20"/>
                <w:szCs w:val="20"/>
              </w:rPr>
            </w:pPr>
            <w:r w:rsidRPr="00BE087B">
              <w:rPr>
                <w:sz w:val="20"/>
                <w:szCs w:val="20"/>
              </w:rPr>
              <w:t>UL</w:t>
            </w:r>
          </w:p>
        </w:tc>
        <w:tc>
          <w:tcPr>
            <w:tcW w:w="1115" w:type="dxa"/>
            <w:tcBorders>
              <w:left w:val="single" w:sz="4" w:space="0" w:color="auto"/>
            </w:tcBorders>
          </w:tcPr>
          <w:p w:rsidR="006158FF" w:rsidRPr="00BE087B" w:rsidRDefault="006158FF" w:rsidP="00F0458B">
            <w:pPr>
              <w:jc w:val="center"/>
              <w:outlineLvl w:val="0"/>
              <w:rPr>
                <w:sz w:val="20"/>
                <w:szCs w:val="20"/>
              </w:rPr>
            </w:pPr>
            <w:r w:rsidRPr="00BE087B">
              <w:rPr>
                <w:sz w:val="20"/>
                <w:szCs w:val="20"/>
              </w:rPr>
              <w:t>USJ</w:t>
            </w:r>
          </w:p>
        </w:tc>
        <w:tc>
          <w:tcPr>
            <w:tcW w:w="1125" w:type="dxa"/>
            <w:tcBorders>
              <w:right w:val="single" w:sz="4" w:space="0" w:color="auto"/>
            </w:tcBorders>
          </w:tcPr>
          <w:p w:rsidR="006158FF" w:rsidRPr="00BE087B" w:rsidRDefault="006158FF" w:rsidP="00F0458B">
            <w:pPr>
              <w:jc w:val="center"/>
              <w:outlineLvl w:val="0"/>
              <w:rPr>
                <w:sz w:val="20"/>
                <w:szCs w:val="20"/>
              </w:rPr>
            </w:pPr>
            <w:r w:rsidRPr="00BE087B">
              <w:rPr>
                <w:sz w:val="20"/>
                <w:szCs w:val="20"/>
              </w:rPr>
              <w:t>UL</w:t>
            </w:r>
          </w:p>
        </w:tc>
        <w:tc>
          <w:tcPr>
            <w:tcW w:w="965" w:type="dxa"/>
            <w:tcBorders>
              <w:left w:val="single" w:sz="4" w:space="0" w:color="auto"/>
            </w:tcBorders>
          </w:tcPr>
          <w:p w:rsidR="006158FF" w:rsidRPr="00BE087B" w:rsidRDefault="006158FF" w:rsidP="00F0458B">
            <w:pPr>
              <w:jc w:val="center"/>
              <w:outlineLvl w:val="0"/>
              <w:rPr>
                <w:sz w:val="20"/>
                <w:szCs w:val="20"/>
              </w:rPr>
            </w:pPr>
            <w:r w:rsidRPr="00BE087B">
              <w:rPr>
                <w:sz w:val="20"/>
                <w:szCs w:val="20"/>
              </w:rPr>
              <w:t>USJ</w:t>
            </w:r>
          </w:p>
        </w:tc>
        <w:tc>
          <w:tcPr>
            <w:tcW w:w="1110" w:type="dxa"/>
            <w:tcBorders>
              <w:right w:val="single" w:sz="4" w:space="0" w:color="auto"/>
            </w:tcBorders>
          </w:tcPr>
          <w:p w:rsidR="006158FF" w:rsidRPr="00BE087B" w:rsidRDefault="006158FF" w:rsidP="00F0458B">
            <w:pPr>
              <w:jc w:val="center"/>
              <w:outlineLvl w:val="0"/>
              <w:rPr>
                <w:sz w:val="20"/>
                <w:szCs w:val="20"/>
              </w:rPr>
            </w:pPr>
            <w:r w:rsidRPr="00BE087B">
              <w:rPr>
                <w:sz w:val="20"/>
                <w:szCs w:val="20"/>
              </w:rPr>
              <w:t>UL</w:t>
            </w:r>
          </w:p>
        </w:tc>
        <w:tc>
          <w:tcPr>
            <w:tcW w:w="980" w:type="dxa"/>
            <w:tcBorders>
              <w:left w:val="single" w:sz="4" w:space="0" w:color="auto"/>
            </w:tcBorders>
          </w:tcPr>
          <w:p w:rsidR="006158FF" w:rsidRPr="00BE087B" w:rsidRDefault="006158FF" w:rsidP="00F0458B">
            <w:pPr>
              <w:jc w:val="center"/>
              <w:outlineLvl w:val="0"/>
              <w:rPr>
                <w:sz w:val="20"/>
                <w:szCs w:val="20"/>
              </w:rPr>
            </w:pPr>
            <w:r w:rsidRPr="00BE087B">
              <w:rPr>
                <w:sz w:val="20"/>
                <w:szCs w:val="20"/>
              </w:rPr>
              <w:t>USJ</w:t>
            </w:r>
          </w:p>
        </w:tc>
      </w:tr>
      <w:tr w:rsidR="006158FF" w:rsidRPr="006158FF" w:rsidTr="00F0458B">
        <w:tc>
          <w:tcPr>
            <w:tcW w:w="2090" w:type="dxa"/>
          </w:tcPr>
          <w:p w:rsidR="006158FF" w:rsidRPr="00BE087B" w:rsidRDefault="006158FF" w:rsidP="00F0458B">
            <w:pPr>
              <w:jc w:val="center"/>
              <w:outlineLvl w:val="0"/>
              <w:rPr>
                <w:sz w:val="20"/>
                <w:szCs w:val="20"/>
              </w:rPr>
            </w:pPr>
            <w:r w:rsidRPr="00BE087B">
              <w:rPr>
                <w:sz w:val="20"/>
                <w:szCs w:val="20"/>
              </w:rPr>
              <w:t>Communication orale</w:t>
            </w:r>
          </w:p>
        </w:tc>
        <w:tc>
          <w:tcPr>
            <w:tcW w:w="975" w:type="dxa"/>
            <w:tcBorders>
              <w:right w:val="single" w:sz="4" w:space="0" w:color="auto"/>
            </w:tcBorders>
          </w:tcPr>
          <w:p w:rsidR="006158FF" w:rsidRPr="00BE087B" w:rsidRDefault="006158FF" w:rsidP="00F0458B">
            <w:pPr>
              <w:jc w:val="center"/>
              <w:outlineLvl w:val="0"/>
              <w:rPr>
                <w:sz w:val="20"/>
                <w:szCs w:val="20"/>
              </w:rPr>
            </w:pPr>
            <w:r w:rsidRPr="00BE087B">
              <w:rPr>
                <w:sz w:val="20"/>
                <w:szCs w:val="20"/>
              </w:rPr>
              <w:t>25.5%</w:t>
            </w:r>
          </w:p>
        </w:tc>
        <w:tc>
          <w:tcPr>
            <w:tcW w:w="1115" w:type="dxa"/>
            <w:tcBorders>
              <w:left w:val="single" w:sz="4" w:space="0" w:color="auto"/>
            </w:tcBorders>
          </w:tcPr>
          <w:p w:rsidR="006158FF" w:rsidRPr="00BE087B" w:rsidRDefault="006158FF" w:rsidP="00F0458B">
            <w:pPr>
              <w:jc w:val="center"/>
              <w:outlineLvl w:val="0"/>
              <w:rPr>
                <w:sz w:val="20"/>
                <w:szCs w:val="20"/>
              </w:rPr>
            </w:pPr>
            <w:r w:rsidRPr="00BE087B">
              <w:rPr>
                <w:sz w:val="20"/>
                <w:szCs w:val="20"/>
              </w:rPr>
              <w:t>36%</w:t>
            </w:r>
          </w:p>
        </w:tc>
        <w:tc>
          <w:tcPr>
            <w:tcW w:w="1125" w:type="dxa"/>
            <w:tcBorders>
              <w:right w:val="single" w:sz="4" w:space="0" w:color="auto"/>
            </w:tcBorders>
          </w:tcPr>
          <w:p w:rsidR="006158FF" w:rsidRPr="00BE087B" w:rsidRDefault="006158FF" w:rsidP="00F0458B">
            <w:pPr>
              <w:jc w:val="center"/>
              <w:outlineLvl w:val="0"/>
              <w:rPr>
                <w:sz w:val="20"/>
                <w:szCs w:val="20"/>
              </w:rPr>
            </w:pPr>
            <w:r w:rsidRPr="00BE087B">
              <w:rPr>
                <w:sz w:val="20"/>
                <w:szCs w:val="20"/>
              </w:rPr>
              <w:t>7%</w:t>
            </w:r>
          </w:p>
        </w:tc>
        <w:tc>
          <w:tcPr>
            <w:tcW w:w="965" w:type="dxa"/>
            <w:tcBorders>
              <w:left w:val="single" w:sz="4" w:space="0" w:color="auto"/>
            </w:tcBorders>
          </w:tcPr>
          <w:p w:rsidR="006158FF" w:rsidRPr="00BE087B" w:rsidRDefault="006158FF" w:rsidP="00F0458B">
            <w:pPr>
              <w:jc w:val="center"/>
              <w:outlineLvl w:val="0"/>
              <w:rPr>
                <w:sz w:val="20"/>
                <w:szCs w:val="20"/>
              </w:rPr>
            </w:pPr>
            <w:r w:rsidRPr="00BE087B">
              <w:rPr>
                <w:sz w:val="20"/>
                <w:szCs w:val="20"/>
              </w:rPr>
              <w:t>8.6%</w:t>
            </w:r>
          </w:p>
        </w:tc>
        <w:tc>
          <w:tcPr>
            <w:tcW w:w="1110" w:type="dxa"/>
            <w:tcBorders>
              <w:right w:val="single" w:sz="4" w:space="0" w:color="auto"/>
            </w:tcBorders>
          </w:tcPr>
          <w:p w:rsidR="006158FF" w:rsidRPr="00BE087B" w:rsidRDefault="006158FF" w:rsidP="00F0458B">
            <w:pPr>
              <w:jc w:val="center"/>
              <w:outlineLvl w:val="0"/>
              <w:rPr>
                <w:sz w:val="20"/>
                <w:szCs w:val="20"/>
              </w:rPr>
            </w:pPr>
            <w:r w:rsidRPr="00BE087B">
              <w:rPr>
                <w:sz w:val="20"/>
                <w:szCs w:val="20"/>
              </w:rPr>
              <w:t>67.5%</w:t>
            </w:r>
          </w:p>
        </w:tc>
        <w:tc>
          <w:tcPr>
            <w:tcW w:w="980" w:type="dxa"/>
            <w:tcBorders>
              <w:left w:val="single" w:sz="4" w:space="0" w:color="auto"/>
            </w:tcBorders>
          </w:tcPr>
          <w:p w:rsidR="006158FF" w:rsidRPr="00BE087B" w:rsidRDefault="006158FF" w:rsidP="00F0458B">
            <w:pPr>
              <w:jc w:val="center"/>
              <w:outlineLvl w:val="0"/>
              <w:rPr>
                <w:sz w:val="20"/>
                <w:szCs w:val="20"/>
              </w:rPr>
            </w:pPr>
            <w:r w:rsidRPr="00BE087B">
              <w:rPr>
                <w:sz w:val="20"/>
                <w:szCs w:val="20"/>
              </w:rPr>
              <w:t>55.12%</w:t>
            </w:r>
          </w:p>
        </w:tc>
      </w:tr>
      <w:tr w:rsidR="006158FF" w:rsidRPr="006158FF" w:rsidTr="00F0458B">
        <w:tc>
          <w:tcPr>
            <w:tcW w:w="2090" w:type="dxa"/>
          </w:tcPr>
          <w:p w:rsidR="006158FF" w:rsidRPr="00BE087B" w:rsidRDefault="006158FF" w:rsidP="00F0458B">
            <w:pPr>
              <w:jc w:val="center"/>
              <w:outlineLvl w:val="0"/>
              <w:rPr>
                <w:sz w:val="20"/>
                <w:szCs w:val="20"/>
              </w:rPr>
            </w:pPr>
            <w:r w:rsidRPr="00BE087B">
              <w:rPr>
                <w:sz w:val="20"/>
                <w:szCs w:val="20"/>
              </w:rPr>
              <w:t>Etudes/ divertissement</w:t>
            </w:r>
          </w:p>
        </w:tc>
        <w:tc>
          <w:tcPr>
            <w:tcW w:w="975" w:type="dxa"/>
            <w:tcBorders>
              <w:right w:val="single" w:sz="4" w:space="0" w:color="auto"/>
            </w:tcBorders>
          </w:tcPr>
          <w:p w:rsidR="006158FF" w:rsidRPr="00BE087B" w:rsidRDefault="006158FF" w:rsidP="00F0458B">
            <w:pPr>
              <w:jc w:val="center"/>
              <w:outlineLvl w:val="0"/>
              <w:rPr>
                <w:sz w:val="20"/>
                <w:szCs w:val="20"/>
              </w:rPr>
            </w:pPr>
            <w:r w:rsidRPr="00BE087B">
              <w:rPr>
                <w:sz w:val="20"/>
                <w:szCs w:val="20"/>
              </w:rPr>
              <w:t>44%</w:t>
            </w:r>
          </w:p>
        </w:tc>
        <w:tc>
          <w:tcPr>
            <w:tcW w:w="1115" w:type="dxa"/>
            <w:tcBorders>
              <w:left w:val="single" w:sz="4" w:space="0" w:color="auto"/>
            </w:tcBorders>
          </w:tcPr>
          <w:p w:rsidR="006158FF" w:rsidRPr="00BE087B" w:rsidRDefault="006158FF" w:rsidP="00F0458B">
            <w:pPr>
              <w:jc w:val="center"/>
              <w:outlineLvl w:val="0"/>
              <w:rPr>
                <w:sz w:val="20"/>
                <w:szCs w:val="20"/>
              </w:rPr>
            </w:pPr>
            <w:r w:rsidRPr="00BE087B">
              <w:rPr>
                <w:sz w:val="20"/>
                <w:szCs w:val="20"/>
              </w:rPr>
              <w:t>52.65</w:t>
            </w:r>
          </w:p>
        </w:tc>
        <w:tc>
          <w:tcPr>
            <w:tcW w:w="1125" w:type="dxa"/>
            <w:tcBorders>
              <w:right w:val="single" w:sz="4" w:space="0" w:color="auto"/>
            </w:tcBorders>
          </w:tcPr>
          <w:p w:rsidR="006158FF" w:rsidRPr="00BE087B" w:rsidRDefault="006158FF" w:rsidP="00F0458B">
            <w:pPr>
              <w:jc w:val="center"/>
              <w:outlineLvl w:val="0"/>
              <w:rPr>
                <w:sz w:val="20"/>
                <w:szCs w:val="20"/>
              </w:rPr>
            </w:pPr>
            <w:r w:rsidRPr="00BE087B">
              <w:rPr>
                <w:sz w:val="20"/>
                <w:szCs w:val="20"/>
              </w:rPr>
              <w:t>23.51%,</w:t>
            </w:r>
          </w:p>
        </w:tc>
        <w:tc>
          <w:tcPr>
            <w:tcW w:w="965" w:type="dxa"/>
            <w:tcBorders>
              <w:left w:val="single" w:sz="4" w:space="0" w:color="auto"/>
            </w:tcBorders>
          </w:tcPr>
          <w:p w:rsidR="006158FF" w:rsidRPr="00BE087B" w:rsidRDefault="006158FF" w:rsidP="00F0458B">
            <w:pPr>
              <w:jc w:val="center"/>
              <w:outlineLvl w:val="0"/>
              <w:rPr>
                <w:sz w:val="20"/>
                <w:szCs w:val="20"/>
              </w:rPr>
            </w:pPr>
            <w:r w:rsidRPr="00BE087B">
              <w:rPr>
                <w:sz w:val="20"/>
                <w:szCs w:val="20"/>
              </w:rPr>
              <w:t>29.23%</w:t>
            </w:r>
          </w:p>
        </w:tc>
        <w:tc>
          <w:tcPr>
            <w:tcW w:w="1110" w:type="dxa"/>
            <w:tcBorders>
              <w:right w:val="single" w:sz="4" w:space="0" w:color="auto"/>
            </w:tcBorders>
          </w:tcPr>
          <w:p w:rsidR="006158FF" w:rsidRPr="00BE087B" w:rsidRDefault="006158FF" w:rsidP="00F0458B">
            <w:pPr>
              <w:jc w:val="center"/>
              <w:outlineLvl w:val="0"/>
              <w:rPr>
                <w:sz w:val="20"/>
                <w:szCs w:val="20"/>
              </w:rPr>
            </w:pPr>
            <w:r w:rsidRPr="00BE087B">
              <w:rPr>
                <w:sz w:val="20"/>
                <w:szCs w:val="20"/>
              </w:rPr>
              <w:t>32%.</w:t>
            </w:r>
          </w:p>
        </w:tc>
        <w:tc>
          <w:tcPr>
            <w:tcW w:w="980" w:type="dxa"/>
            <w:tcBorders>
              <w:left w:val="single" w:sz="4" w:space="0" w:color="auto"/>
            </w:tcBorders>
          </w:tcPr>
          <w:p w:rsidR="006158FF" w:rsidRPr="00BE087B" w:rsidRDefault="006158FF" w:rsidP="00F0458B">
            <w:pPr>
              <w:jc w:val="center"/>
              <w:outlineLvl w:val="0"/>
              <w:rPr>
                <w:sz w:val="20"/>
                <w:szCs w:val="20"/>
              </w:rPr>
            </w:pPr>
            <w:r w:rsidRPr="00BE087B">
              <w:rPr>
                <w:sz w:val="20"/>
                <w:szCs w:val="20"/>
              </w:rPr>
              <w:t>18.11</w:t>
            </w:r>
          </w:p>
        </w:tc>
      </w:tr>
    </w:tbl>
    <w:p w:rsidR="006158FF" w:rsidRDefault="006158FF" w:rsidP="006158FF">
      <w:pPr>
        <w:jc w:val="both"/>
      </w:pPr>
    </w:p>
    <w:p w:rsidR="006158FF" w:rsidRDefault="006158FF" w:rsidP="006158FF">
      <w:pPr>
        <w:jc w:val="both"/>
      </w:pPr>
      <w:r>
        <w:t xml:space="preserve">     Contrairement à nos attentes, l’écart de l’utilisation du français entre les étudiants de l’UL et de l’USJ n’est pas aussi important que nous l’imaginions. L’USJ recruterait t- elle dorénavant une clientèle moins francophone qu’autrefois ? Où sont donc passés les élèves formés dans les écoles privées prestigieuses ? Vraisemblablement dans les universités anglophones comme l’AUB (Université américaine de Beyrouth) ou à l’étranger, principalement en France. </w:t>
      </w:r>
    </w:p>
    <w:p w:rsidR="006158FF" w:rsidRDefault="006158FF" w:rsidP="006158FF">
      <w:pPr>
        <w:jc w:val="both"/>
        <w:rPr>
          <w:spacing w:val="4"/>
        </w:rPr>
      </w:pPr>
    </w:p>
    <w:p w:rsidR="006158FF" w:rsidRDefault="006158FF" w:rsidP="006158FF">
      <w:pPr>
        <w:jc w:val="both"/>
        <w:rPr>
          <w:b/>
          <w:bCs/>
        </w:rPr>
      </w:pPr>
      <w:r>
        <w:rPr>
          <w:b/>
          <w:bCs/>
        </w:rPr>
        <w:t>6. Comparaison des pratiques linguistiques</w:t>
      </w:r>
    </w:p>
    <w:p w:rsidR="006158FF" w:rsidRDefault="006158FF" w:rsidP="006158FF">
      <w:pPr>
        <w:jc w:val="both"/>
        <w:rPr>
          <w:b/>
          <w:bCs/>
        </w:rPr>
      </w:pPr>
      <w:r>
        <w:rPr>
          <w:b/>
          <w:bCs/>
        </w:rPr>
        <w:t xml:space="preserve"> - Enquêtes 2001/2007 </w:t>
      </w:r>
    </w:p>
    <w:p w:rsidR="006158FF" w:rsidRDefault="006158FF" w:rsidP="006158FF">
      <w:pPr>
        <w:jc w:val="both"/>
        <w:rPr>
          <w:b/>
          <w:bCs/>
        </w:rPr>
      </w:pPr>
    </w:p>
    <w:p w:rsidR="006158FF" w:rsidRDefault="006158FF" w:rsidP="006158FF">
      <w:pPr>
        <w:jc w:val="both"/>
      </w:pPr>
      <w:r>
        <w:t xml:space="preserve">     Pendant le deuxième semestre de 2001, nous avons mené des enquêtes sociolinguistiques auprès de 180 libanais de scolarisation francophone ou anglophone, âgés de 18 à 25 ans. La comparaison que nous nous proposons d’établir nous permet certes d’avoir une idée de l’évolution des pratiques linguistiques au Liban. Il est cependant prudent de relativiser certains résultats pour plusieurs raisons. D’abord, la comparaison  porte sur une partie du sondage, à savoir les pratiques linguistiques. Puis, elle ne prend en considération que les réponses fournies par les enquêtés francophones. Enfin, parmi les informateurs sélectionnés dans le cadre de l’enquête de 2001 figurent des étudiants et des jeunes actifs contrairement à l’enquête de 2007 qui se consacre entièrement aux étudiants.  </w:t>
      </w:r>
    </w:p>
    <w:p w:rsidR="006158FF" w:rsidRDefault="006158FF" w:rsidP="006158FF">
      <w:pPr>
        <w:jc w:val="both"/>
      </w:pPr>
    </w:p>
    <w:p w:rsidR="006158FF" w:rsidRDefault="006158FF" w:rsidP="006158FF">
      <w:pPr>
        <w:pStyle w:val="Corpsdetexte"/>
        <w:rPr>
          <w:szCs w:val="23"/>
          <w:u w:val="single"/>
        </w:rPr>
      </w:pPr>
      <w:r w:rsidRPr="00431F6A">
        <w:rPr>
          <w:szCs w:val="23"/>
        </w:rPr>
        <w:t>6.1</w:t>
      </w:r>
      <w:r>
        <w:rPr>
          <w:szCs w:val="23"/>
          <w:u w:val="single"/>
        </w:rPr>
        <w:t xml:space="preserve"> </w:t>
      </w:r>
      <w:r w:rsidRPr="00FA26E6">
        <w:rPr>
          <w:szCs w:val="23"/>
          <w:u w:val="single"/>
        </w:rPr>
        <w:t>Choix de la langue de communication selon l’interlocuteur</w:t>
      </w:r>
      <w:r>
        <w:rPr>
          <w:szCs w:val="23"/>
          <w:u w:val="single"/>
        </w:rPr>
        <w:t xml:space="preserve"> : </w:t>
      </w:r>
    </w:p>
    <w:p w:rsidR="006158FF" w:rsidRDefault="006158FF" w:rsidP="006158FF">
      <w:pPr>
        <w:pStyle w:val="Corpsdetexte"/>
        <w:rPr>
          <w:szCs w:val="23"/>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9"/>
        <w:gridCol w:w="1096"/>
        <w:gridCol w:w="1275"/>
        <w:gridCol w:w="866"/>
        <w:gridCol w:w="1261"/>
        <w:gridCol w:w="1379"/>
        <w:gridCol w:w="1420"/>
      </w:tblGrid>
      <w:tr w:rsidR="006158FF" w:rsidRPr="006158FF" w:rsidTr="00F0458B">
        <w:tc>
          <w:tcPr>
            <w:tcW w:w="1139" w:type="dxa"/>
            <w:vMerge w:val="restart"/>
          </w:tcPr>
          <w:p w:rsidR="006158FF" w:rsidRPr="00C81C2E" w:rsidRDefault="006158FF" w:rsidP="00F0458B">
            <w:pPr>
              <w:pStyle w:val="Corpsdetexte"/>
              <w:rPr>
                <w:szCs w:val="23"/>
                <w:u w:val="single"/>
              </w:rPr>
            </w:pPr>
          </w:p>
        </w:tc>
        <w:tc>
          <w:tcPr>
            <w:tcW w:w="3237" w:type="dxa"/>
            <w:gridSpan w:val="3"/>
          </w:tcPr>
          <w:p w:rsidR="006158FF" w:rsidRPr="00B73B0C" w:rsidRDefault="006158FF" w:rsidP="00F0458B">
            <w:pPr>
              <w:pStyle w:val="Corpsdetexte"/>
              <w:jc w:val="center"/>
              <w:rPr>
                <w:sz w:val="20"/>
                <w:szCs w:val="20"/>
              </w:rPr>
            </w:pPr>
            <w:r w:rsidRPr="00B73B0C">
              <w:rPr>
                <w:sz w:val="20"/>
                <w:szCs w:val="20"/>
              </w:rPr>
              <w:t>Enquêtes 2001</w:t>
            </w:r>
          </w:p>
        </w:tc>
        <w:tc>
          <w:tcPr>
            <w:tcW w:w="4060" w:type="dxa"/>
            <w:gridSpan w:val="3"/>
          </w:tcPr>
          <w:p w:rsidR="006158FF" w:rsidRPr="00B73B0C" w:rsidRDefault="006158FF" w:rsidP="00F0458B">
            <w:pPr>
              <w:pStyle w:val="Corpsdetexte"/>
              <w:jc w:val="center"/>
              <w:rPr>
                <w:sz w:val="20"/>
                <w:szCs w:val="20"/>
              </w:rPr>
            </w:pPr>
            <w:r w:rsidRPr="00B73B0C">
              <w:rPr>
                <w:sz w:val="20"/>
                <w:szCs w:val="20"/>
              </w:rPr>
              <w:t>Enquêtes 2007</w:t>
            </w:r>
          </w:p>
        </w:tc>
      </w:tr>
      <w:tr w:rsidR="006158FF" w:rsidRPr="006158FF" w:rsidTr="00F0458B">
        <w:tc>
          <w:tcPr>
            <w:tcW w:w="1139" w:type="dxa"/>
            <w:vMerge/>
          </w:tcPr>
          <w:p w:rsidR="006158FF" w:rsidRPr="00C81C2E" w:rsidRDefault="006158FF" w:rsidP="00F0458B">
            <w:pPr>
              <w:pStyle w:val="Corpsdetexte"/>
              <w:rPr>
                <w:sz w:val="20"/>
                <w:szCs w:val="19"/>
              </w:rPr>
            </w:pPr>
          </w:p>
        </w:tc>
        <w:tc>
          <w:tcPr>
            <w:tcW w:w="1096" w:type="dxa"/>
            <w:tcBorders>
              <w:right w:val="single" w:sz="4" w:space="0" w:color="auto"/>
            </w:tcBorders>
          </w:tcPr>
          <w:p w:rsidR="006158FF" w:rsidRPr="00C81C2E" w:rsidRDefault="006158FF" w:rsidP="00F0458B">
            <w:pPr>
              <w:pStyle w:val="Corpsdetexte"/>
              <w:jc w:val="center"/>
              <w:rPr>
                <w:sz w:val="16"/>
                <w:szCs w:val="16"/>
              </w:rPr>
            </w:pPr>
            <w:r w:rsidRPr="00C81C2E">
              <w:rPr>
                <w:sz w:val="16"/>
                <w:szCs w:val="16"/>
              </w:rPr>
              <w:t>Français</w:t>
            </w:r>
          </w:p>
        </w:tc>
        <w:tc>
          <w:tcPr>
            <w:tcW w:w="1275" w:type="dxa"/>
            <w:tcBorders>
              <w:left w:val="single" w:sz="4" w:space="0" w:color="auto"/>
              <w:right w:val="single" w:sz="4" w:space="0" w:color="auto"/>
            </w:tcBorders>
          </w:tcPr>
          <w:p w:rsidR="006158FF" w:rsidRPr="00C81C2E" w:rsidRDefault="006158FF" w:rsidP="00F0458B">
            <w:pPr>
              <w:pStyle w:val="Corpsdetexte"/>
              <w:jc w:val="center"/>
              <w:rPr>
                <w:sz w:val="16"/>
                <w:szCs w:val="16"/>
              </w:rPr>
            </w:pPr>
            <w:r w:rsidRPr="00C81C2E">
              <w:rPr>
                <w:sz w:val="16"/>
                <w:szCs w:val="16"/>
              </w:rPr>
              <w:t>Anglais</w:t>
            </w:r>
          </w:p>
        </w:tc>
        <w:tc>
          <w:tcPr>
            <w:tcW w:w="866" w:type="dxa"/>
            <w:tcBorders>
              <w:left w:val="single" w:sz="4" w:space="0" w:color="auto"/>
            </w:tcBorders>
          </w:tcPr>
          <w:p w:rsidR="006158FF" w:rsidRPr="00C81C2E" w:rsidRDefault="006158FF" w:rsidP="00F0458B">
            <w:pPr>
              <w:pStyle w:val="Corpsdetexte"/>
              <w:jc w:val="center"/>
              <w:rPr>
                <w:sz w:val="16"/>
                <w:szCs w:val="16"/>
              </w:rPr>
            </w:pPr>
            <w:r w:rsidRPr="00C81C2E">
              <w:rPr>
                <w:sz w:val="16"/>
                <w:szCs w:val="16"/>
              </w:rPr>
              <w:t>Arabe</w:t>
            </w:r>
          </w:p>
        </w:tc>
        <w:tc>
          <w:tcPr>
            <w:tcW w:w="1261" w:type="dxa"/>
            <w:tcBorders>
              <w:right w:val="single" w:sz="4" w:space="0" w:color="auto"/>
            </w:tcBorders>
          </w:tcPr>
          <w:p w:rsidR="006158FF" w:rsidRPr="00C81C2E" w:rsidRDefault="006158FF" w:rsidP="00F0458B">
            <w:pPr>
              <w:pStyle w:val="Corpsdetexte"/>
              <w:jc w:val="center"/>
              <w:rPr>
                <w:sz w:val="16"/>
                <w:szCs w:val="16"/>
              </w:rPr>
            </w:pPr>
            <w:r w:rsidRPr="00C81C2E">
              <w:rPr>
                <w:sz w:val="16"/>
                <w:szCs w:val="16"/>
              </w:rPr>
              <w:t>Français</w:t>
            </w:r>
          </w:p>
        </w:tc>
        <w:tc>
          <w:tcPr>
            <w:tcW w:w="1379" w:type="dxa"/>
            <w:tcBorders>
              <w:left w:val="single" w:sz="4" w:space="0" w:color="auto"/>
              <w:right w:val="single" w:sz="4" w:space="0" w:color="auto"/>
            </w:tcBorders>
          </w:tcPr>
          <w:p w:rsidR="006158FF" w:rsidRPr="00C81C2E" w:rsidRDefault="006158FF" w:rsidP="00F0458B">
            <w:pPr>
              <w:pStyle w:val="Corpsdetexte"/>
              <w:jc w:val="center"/>
              <w:rPr>
                <w:sz w:val="16"/>
                <w:szCs w:val="16"/>
              </w:rPr>
            </w:pPr>
            <w:r w:rsidRPr="00C81C2E">
              <w:rPr>
                <w:sz w:val="16"/>
                <w:szCs w:val="16"/>
              </w:rPr>
              <w:t>Anglais</w:t>
            </w:r>
          </w:p>
        </w:tc>
        <w:tc>
          <w:tcPr>
            <w:tcW w:w="1420" w:type="dxa"/>
            <w:tcBorders>
              <w:left w:val="single" w:sz="4" w:space="0" w:color="auto"/>
            </w:tcBorders>
          </w:tcPr>
          <w:p w:rsidR="006158FF" w:rsidRPr="00C81C2E" w:rsidRDefault="006158FF" w:rsidP="00F0458B">
            <w:pPr>
              <w:pStyle w:val="Corpsdetexte"/>
              <w:jc w:val="center"/>
              <w:rPr>
                <w:sz w:val="16"/>
                <w:szCs w:val="16"/>
              </w:rPr>
            </w:pPr>
            <w:r w:rsidRPr="00C81C2E">
              <w:rPr>
                <w:sz w:val="16"/>
                <w:szCs w:val="16"/>
              </w:rPr>
              <w:t>Arabe</w:t>
            </w:r>
          </w:p>
        </w:tc>
      </w:tr>
      <w:tr w:rsidR="006158FF" w:rsidRPr="006158FF" w:rsidTr="00F0458B">
        <w:tc>
          <w:tcPr>
            <w:tcW w:w="1139" w:type="dxa"/>
          </w:tcPr>
          <w:p w:rsidR="006158FF" w:rsidRPr="00C81C2E" w:rsidRDefault="006158FF" w:rsidP="00F0458B">
            <w:pPr>
              <w:pStyle w:val="Corpsdetexte"/>
              <w:rPr>
                <w:sz w:val="20"/>
                <w:szCs w:val="19"/>
              </w:rPr>
            </w:pPr>
            <w:r w:rsidRPr="00C81C2E">
              <w:rPr>
                <w:sz w:val="20"/>
                <w:szCs w:val="19"/>
              </w:rPr>
              <w:t>Parents</w:t>
            </w:r>
          </w:p>
        </w:tc>
        <w:tc>
          <w:tcPr>
            <w:tcW w:w="1096" w:type="dxa"/>
            <w:tcBorders>
              <w:right w:val="single" w:sz="4" w:space="0" w:color="auto"/>
            </w:tcBorders>
          </w:tcPr>
          <w:p w:rsidR="006158FF" w:rsidRPr="000E65D9" w:rsidRDefault="006158FF" w:rsidP="00F0458B">
            <w:pPr>
              <w:pStyle w:val="Corpsdetexte"/>
              <w:jc w:val="center"/>
              <w:rPr>
                <w:sz w:val="20"/>
                <w:szCs w:val="20"/>
              </w:rPr>
            </w:pPr>
            <w:r w:rsidRPr="000E65D9">
              <w:rPr>
                <w:sz w:val="20"/>
                <w:szCs w:val="20"/>
                <w:lang w:val="de-DE"/>
              </w:rPr>
              <w:t>15%</w:t>
            </w:r>
          </w:p>
        </w:tc>
        <w:tc>
          <w:tcPr>
            <w:tcW w:w="1275" w:type="dxa"/>
            <w:tcBorders>
              <w:left w:val="single" w:sz="4" w:space="0" w:color="auto"/>
              <w:right w:val="single" w:sz="4" w:space="0" w:color="auto"/>
            </w:tcBorders>
          </w:tcPr>
          <w:p w:rsidR="006158FF" w:rsidRPr="000E65D9" w:rsidRDefault="006158FF" w:rsidP="00F0458B">
            <w:pPr>
              <w:pStyle w:val="Corpsdetexte"/>
              <w:jc w:val="center"/>
              <w:rPr>
                <w:sz w:val="20"/>
                <w:szCs w:val="20"/>
              </w:rPr>
            </w:pPr>
            <w:r w:rsidRPr="000E65D9">
              <w:rPr>
                <w:sz w:val="20"/>
                <w:szCs w:val="20"/>
                <w:lang w:val="de-DE"/>
              </w:rPr>
              <w:t>5%</w:t>
            </w:r>
          </w:p>
        </w:tc>
        <w:tc>
          <w:tcPr>
            <w:tcW w:w="866" w:type="dxa"/>
            <w:tcBorders>
              <w:left w:val="single" w:sz="4" w:space="0" w:color="auto"/>
            </w:tcBorders>
          </w:tcPr>
          <w:p w:rsidR="006158FF" w:rsidRPr="000E65D9" w:rsidRDefault="006158FF" w:rsidP="00F0458B">
            <w:pPr>
              <w:pStyle w:val="Corpsdetexte"/>
              <w:jc w:val="center"/>
              <w:rPr>
                <w:sz w:val="20"/>
                <w:szCs w:val="20"/>
              </w:rPr>
            </w:pPr>
            <w:r w:rsidRPr="000E65D9">
              <w:rPr>
                <w:sz w:val="20"/>
                <w:szCs w:val="20"/>
                <w:lang w:val="de-DE"/>
              </w:rPr>
              <w:t>80%</w:t>
            </w:r>
          </w:p>
        </w:tc>
        <w:tc>
          <w:tcPr>
            <w:tcW w:w="1261" w:type="dxa"/>
            <w:tcBorders>
              <w:right w:val="single" w:sz="4" w:space="0" w:color="auto"/>
            </w:tcBorders>
          </w:tcPr>
          <w:p w:rsidR="006158FF" w:rsidRPr="000E65D9" w:rsidRDefault="006158FF" w:rsidP="00F0458B">
            <w:pPr>
              <w:pStyle w:val="Corpsdetexte"/>
              <w:jc w:val="center"/>
              <w:rPr>
                <w:sz w:val="20"/>
                <w:szCs w:val="20"/>
              </w:rPr>
            </w:pPr>
            <w:r>
              <w:rPr>
                <w:sz w:val="20"/>
                <w:szCs w:val="20"/>
              </w:rPr>
              <w:t>14.51</w:t>
            </w:r>
            <w:r w:rsidRPr="000E65D9">
              <w:rPr>
                <w:sz w:val="20"/>
                <w:szCs w:val="20"/>
              </w:rPr>
              <w:t>%</w:t>
            </w:r>
          </w:p>
        </w:tc>
        <w:tc>
          <w:tcPr>
            <w:tcW w:w="1379" w:type="dxa"/>
            <w:tcBorders>
              <w:left w:val="single" w:sz="4" w:space="0" w:color="auto"/>
              <w:right w:val="single" w:sz="4" w:space="0" w:color="auto"/>
            </w:tcBorders>
          </w:tcPr>
          <w:p w:rsidR="006158FF" w:rsidRPr="000E65D9" w:rsidRDefault="006158FF" w:rsidP="00F0458B">
            <w:pPr>
              <w:pStyle w:val="Corpsdetexte"/>
              <w:jc w:val="center"/>
              <w:rPr>
                <w:sz w:val="20"/>
                <w:szCs w:val="20"/>
              </w:rPr>
            </w:pPr>
            <w:r>
              <w:rPr>
                <w:sz w:val="20"/>
                <w:szCs w:val="20"/>
              </w:rPr>
              <w:t>3.2%</w:t>
            </w:r>
          </w:p>
        </w:tc>
        <w:tc>
          <w:tcPr>
            <w:tcW w:w="1420" w:type="dxa"/>
            <w:tcBorders>
              <w:left w:val="single" w:sz="4" w:space="0" w:color="auto"/>
            </w:tcBorders>
          </w:tcPr>
          <w:p w:rsidR="006158FF" w:rsidRPr="000E65D9" w:rsidRDefault="006158FF" w:rsidP="00F0458B">
            <w:pPr>
              <w:pStyle w:val="Corpsdetexte"/>
              <w:jc w:val="center"/>
              <w:rPr>
                <w:sz w:val="20"/>
                <w:szCs w:val="20"/>
              </w:rPr>
            </w:pPr>
            <w:r>
              <w:rPr>
                <w:sz w:val="20"/>
                <w:szCs w:val="20"/>
              </w:rPr>
              <w:t>82.64</w:t>
            </w:r>
          </w:p>
        </w:tc>
      </w:tr>
      <w:tr w:rsidR="006158FF" w:rsidRPr="006158FF" w:rsidTr="00F0458B">
        <w:tc>
          <w:tcPr>
            <w:tcW w:w="1139" w:type="dxa"/>
          </w:tcPr>
          <w:p w:rsidR="006158FF" w:rsidRPr="00C81C2E" w:rsidRDefault="006158FF" w:rsidP="00F0458B">
            <w:pPr>
              <w:pStyle w:val="Corpsdetexte"/>
              <w:rPr>
                <w:sz w:val="20"/>
                <w:szCs w:val="19"/>
              </w:rPr>
            </w:pPr>
            <w:r w:rsidRPr="00C81C2E">
              <w:rPr>
                <w:sz w:val="20"/>
                <w:szCs w:val="19"/>
              </w:rPr>
              <w:t>Fratrie</w:t>
            </w:r>
          </w:p>
        </w:tc>
        <w:tc>
          <w:tcPr>
            <w:tcW w:w="1096" w:type="dxa"/>
            <w:tcBorders>
              <w:right w:val="single" w:sz="4" w:space="0" w:color="auto"/>
            </w:tcBorders>
          </w:tcPr>
          <w:p w:rsidR="006158FF" w:rsidRPr="000E65D9" w:rsidRDefault="006158FF" w:rsidP="00F0458B">
            <w:pPr>
              <w:pStyle w:val="Corpsdetexte"/>
              <w:jc w:val="center"/>
              <w:rPr>
                <w:sz w:val="20"/>
                <w:szCs w:val="20"/>
              </w:rPr>
            </w:pPr>
            <w:r>
              <w:rPr>
                <w:sz w:val="20"/>
                <w:szCs w:val="20"/>
              </w:rPr>
              <w:t>17</w:t>
            </w:r>
            <w:r w:rsidRPr="000E65D9">
              <w:rPr>
                <w:sz w:val="20"/>
                <w:szCs w:val="20"/>
              </w:rPr>
              <w:t>%</w:t>
            </w:r>
          </w:p>
        </w:tc>
        <w:tc>
          <w:tcPr>
            <w:tcW w:w="1275" w:type="dxa"/>
            <w:tcBorders>
              <w:left w:val="single" w:sz="4" w:space="0" w:color="auto"/>
              <w:right w:val="single" w:sz="4" w:space="0" w:color="auto"/>
            </w:tcBorders>
          </w:tcPr>
          <w:p w:rsidR="006158FF" w:rsidRPr="000E65D9" w:rsidRDefault="006158FF" w:rsidP="00F0458B">
            <w:pPr>
              <w:pStyle w:val="Corpsdetexte"/>
              <w:jc w:val="center"/>
              <w:rPr>
                <w:sz w:val="20"/>
                <w:szCs w:val="20"/>
              </w:rPr>
            </w:pPr>
            <w:r>
              <w:rPr>
                <w:sz w:val="20"/>
                <w:szCs w:val="20"/>
                <w:lang w:val="de-DE"/>
              </w:rPr>
              <w:t>5</w:t>
            </w:r>
            <w:r w:rsidRPr="000E65D9">
              <w:rPr>
                <w:sz w:val="20"/>
                <w:szCs w:val="20"/>
                <w:lang w:val="de-DE"/>
              </w:rPr>
              <w:t>%</w:t>
            </w:r>
          </w:p>
        </w:tc>
        <w:tc>
          <w:tcPr>
            <w:tcW w:w="866" w:type="dxa"/>
            <w:tcBorders>
              <w:left w:val="single" w:sz="4" w:space="0" w:color="auto"/>
            </w:tcBorders>
          </w:tcPr>
          <w:p w:rsidR="006158FF" w:rsidRPr="000E65D9" w:rsidRDefault="006158FF" w:rsidP="00F0458B">
            <w:pPr>
              <w:pStyle w:val="Corpsdetexte"/>
              <w:jc w:val="center"/>
              <w:rPr>
                <w:sz w:val="20"/>
                <w:szCs w:val="20"/>
              </w:rPr>
            </w:pPr>
            <w:r>
              <w:rPr>
                <w:sz w:val="20"/>
                <w:szCs w:val="20"/>
                <w:lang w:val="de-DE"/>
              </w:rPr>
              <w:t>78</w:t>
            </w:r>
            <w:r w:rsidRPr="000E65D9">
              <w:rPr>
                <w:sz w:val="20"/>
                <w:szCs w:val="20"/>
                <w:lang w:val="de-DE"/>
              </w:rPr>
              <w:t>%</w:t>
            </w:r>
          </w:p>
        </w:tc>
        <w:tc>
          <w:tcPr>
            <w:tcW w:w="1261" w:type="dxa"/>
            <w:tcBorders>
              <w:right w:val="single" w:sz="4" w:space="0" w:color="auto"/>
            </w:tcBorders>
          </w:tcPr>
          <w:p w:rsidR="006158FF" w:rsidRPr="000E65D9" w:rsidRDefault="006158FF" w:rsidP="00F0458B">
            <w:pPr>
              <w:pStyle w:val="Corpsdetexte"/>
              <w:jc w:val="center"/>
              <w:rPr>
                <w:sz w:val="20"/>
                <w:szCs w:val="20"/>
              </w:rPr>
            </w:pPr>
            <w:r w:rsidRPr="000E65D9">
              <w:rPr>
                <w:sz w:val="20"/>
                <w:szCs w:val="20"/>
              </w:rPr>
              <w:t>25.50</w:t>
            </w:r>
          </w:p>
        </w:tc>
        <w:tc>
          <w:tcPr>
            <w:tcW w:w="1379" w:type="dxa"/>
            <w:tcBorders>
              <w:left w:val="single" w:sz="4" w:space="0" w:color="auto"/>
              <w:right w:val="single" w:sz="4" w:space="0" w:color="auto"/>
            </w:tcBorders>
          </w:tcPr>
          <w:p w:rsidR="006158FF" w:rsidRPr="000E65D9" w:rsidRDefault="006158FF" w:rsidP="00F0458B">
            <w:pPr>
              <w:pStyle w:val="Corpsdetexte"/>
              <w:jc w:val="center"/>
              <w:rPr>
                <w:sz w:val="20"/>
                <w:szCs w:val="20"/>
              </w:rPr>
            </w:pPr>
            <w:r>
              <w:rPr>
                <w:sz w:val="20"/>
                <w:szCs w:val="20"/>
              </w:rPr>
              <w:t>8.24%</w:t>
            </w:r>
          </w:p>
        </w:tc>
        <w:tc>
          <w:tcPr>
            <w:tcW w:w="1420" w:type="dxa"/>
            <w:tcBorders>
              <w:left w:val="single" w:sz="4" w:space="0" w:color="auto"/>
            </w:tcBorders>
          </w:tcPr>
          <w:p w:rsidR="006158FF" w:rsidRPr="000E65D9" w:rsidRDefault="006158FF" w:rsidP="00F0458B">
            <w:pPr>
              <w:pStyle w:val="Corpsdetexte"/>
              <w:jc w:val="center"/>
              <w:rPr>
                <w:sz w:val="20"/>
                <w:szCs w:val="20"/>
              </w:rPr>
            </w:pPr>
            <w:r>
              <w:rPr>
                <w:sz w:val="20"/>
                <w:szCs w:val="20"/>
              </w:rPr>
              <w:t>66.26%</w:t>
            </w:r>
          </w:p>
        </w:tc>
      </w:tr>
      <w:tr w:rsidR="006158FF" w:rsidRPr="006158FF" w:rsidTr="00F0458B">
        <w:tc>
          <w:tcPr>
            <w:tcW w:w="1139" w:type="dxa"/>
          </w:tcPr>
          <w:p w:rsidR="006158FF" w:rsidRPr="00C81C2E" w:rsidRDefault="006158FF" w:rsidP="00F0458B">
            <w:pPr>
              <w:pStyle w:val="Corpsdetexte"/>
              <w:rPr>
                <w:sz w:val="20"/>
                <w:szCs w:val="19"/>
              </w:rPr>
            </w:pPr>
            <w:r w:rsidRPr="00C81C2E">
              <w:rPr>
                <w:sz w:val="20"/>
                <w:szCs w:val="19"/>
              </w:rPr>
              <w:t xml:space="preserve">Amis </w:t>
            </w:r>
          </w:p>
        </w:tc>
        <w:tc>
          <w:tcPr>
            <w:tcW w:w="1096" w:type="dxa"/>
            <w:tcBorders>
              <w:right w:val="single" w:sz="4" w:space="0" w:color="auto"/>
            </w:tcBorders>
          </w:tcPr>
          <w:p w:rsidR="006158FF" w:rsidRPr="000E65D9" w:rsidRDefault="006158FF" w:rsidP="00F0458B">
            <w:pPr>
              <w:pStyle w:val="Corpsdetexte"/>
              <w:jc w:val="center"/>
              <w:rPr>
                <w:sz w:val="20"/>
                <w:szCs w:val="20"/>
              </w:rPr>
            </w:pPr>
            <w:r>
              <w:rPr>
                <w:sz w:val="20"/>
                <w:szCs w:val="20"/>
              </w:rPr>
              <w:t>30</w:t>
            </w:r>
            <w:r w:rsidRPr="000E65D9">
              <w:rPr>
                <w:sz w:val="20"/>
                <w:szCs w:val="20"/>
              </w:rPr>
              <w:t>%</w:t>
            </w:r>
          </w:p>
        </w:tc>
        <w:tc>
          <w:tcPr>
            <w:tcW w:w="1275" w:type="dxa"/>
            <w:tcBorders>
              <w:left w:val="single" w:sz="4" w:space="0" w:color="auto"/>
              <w:right w:val="single" w:sz="4" w:space="0" w:color="auto"/>
            </w:tcBorders>
          </w:tcPr>
          <w:p w:rsidR="006158FF" w:rsidRPr="000E65D9" w:rsidRDefault="006158FF" w:rsidP="00F0458B">
            <w:pPr>
              <w:pStyle w:val="Corpsdetexte"/>
              <w:jc w:val="center"/>
              <w:rPr>
                <w:sz w:val="20"/>
                <w:szCs w:val="20"/>
              </w:rPr>
            </w:pPr>
            <w:r>
              <w:rPr>
                <w:sz w:val="20"/>
                <w:szCs w:val="20"/>
                <w:lang w:val="de-DE"/>
              </w:rPr>
              <w:t>10</w:t>
            </w:r>
            <w:r w:rsidRPr="000E65D9">
              <w:rPr>
                <w:sz w:val="20"/>
                <w:szCs w:val="20"/>
                <w:lang w:val="de-DE"/>
              </w:rPr>
              <w:t>%</w:t>
            </w:r>
          </w:p>
        </w:tc>
        <w:tc>
          <w:tcPr>
            <w:tcW w:w="866" w:type="dxa"/>
            <w:tcBorders>
              <w:left w:val="single" w:sz="4" w:space="0" w:color="auto"/>
            </w:tcBorders>
          </w:tcPr>
          <w:p w:rsidR="006158FF" w:rsidRPr="000E65D9" w:rsidRDefault="006158FF" w:rsidP="00F0458B">
            <w:pPr>
              <w:pStyle w:val="Corpsdetexte"/>
              <w:jc w:val="center"/>
              <w:rPr>
                <w:sz w:val="20"/>
                <w:szCs w:val="20"/>
              </w:rPr>
            </w:pPr>
            <w:r>
              <w:rPr>
                <w:sz w:val="20"/>
                <w:szCs w:val="20"/>
                <w:lang w:val="de-DE"/>
              </w:rPr>
              <w:t>60</w:t>
            </w:r>
            <w:r w:rsidRPr="000E65D9">
              <w:rPr>
                <w:sz w:val="20"/>
                <w:szCs w:val="20"/>
                <w:lang w:val="de-DE"/>
              </w:rPr>
              <w:t>%</w:t>
            </w:r>
          </w:p>
        </w:tc>
        <w:tc>
          <w:tcPr>
            <w:tcW w:w="1261" w:type="dxa"/>
            <w:tcBorders>
              <w:right w:val="single" w:sz="4" w:space="0" w:color="auto"/>
            </w:tcBorders>
          </w:tcPr>
          <w:p w:rsidR="006158FF" w:rsidRPr="000E65D9" w:rsidRDefault="006158FF" w:rsidP="00F0458B">
            <w:pPr>
              <w:pStyle w:val="Corpsdetexte"/>
              <w:jc w:val="center"/>
              <w:rPr>
                <w:sz w:val="20"/>
                <w:szCs w:val="20"/>
              </w:rPr>
            </w:pPr>
            <w:r w:rsidRPr="000E65D9">
              <w:rPr>
                <w:sz w:val="20"/>
                <w:szCs w:val="20"/>
              </w:rPr>
              <w:t>25.33%</w:t>
            </w:r>
          </w:p>
        </w:tc>
        <w:tc>
          <w:tcPr>
            <w:tcW w:w="1379" w:type="dxa"/>
            <w:tcBorders>
              <w:left w:val="single" w:sz="4" w:space="0" w:color="auto"/>
              <w:right w:val="single" w:sz="4" w:space="0" w:color="auto"/>
            </w:tcBorders>
          </w:tcPr>
          <w:p w:rsidR="006158FF" w:rsidRPr="000E65D9" w:rsidRDefault="006158FF" w:rsidP="00F0458B">
            <w:pPr>
              <w:pStyle w:val="Corpsdetexte"/>
              <w:jc w:val="center"/>
              <w:rPr>
                <w:sz w:val="20"/>
                <w:szCs w:val="20"/>
              </w:rPr>
            </w:pPr>
            <w:r>
              <w:rPr>
                <w:sz w:val="20"/>
                <w:szCs w:val="20"/>
              </w:rPr>
              <w:t>9.48%</w:t>
            </w:r>
          </w:p>
        </w:tc>
        <w:tc>
          <w:tcPr>
            <w:tcW w:w="1420" w:type="dxa"/>
            <w:tcBorders>
              <w:left w:val="single" w:sz="4" w:space="0" w:color="auto"/>
            </w:tcBorders>
          </w:tcPr>
          <w:p w:rsidR="006158FF" w:rsidRPr="000E65D9" w:rsidRDefault="006158FF" w:rsidP="00F0458B">
            <w:pPr>
              <w:pStyle w:val="Corpsdetexte"/>
              <w:jc w:val="center"/>
              <w:rPr>
                <w:sz w:val="20"/>
                <w:szCs w:val="20"/>
              </w:rPr>
            </w:pPr>
            <w:r>
              <w:rPr>
                <w:sz w:val="20"/>
                <w:szCs w:val="20"/>
              </w:rPr>
              <w:t>65.28%</w:t>
            </w:r>
          </w:p>
        </w:tc>
      </w:tr>
      <w:tr w:rsidR="006158FF" w:rsidRPr="006158FF" w:rsidTr="00F0458B">
        <w:tc>
          <w:tcPr>
            <w:tcW w:w="1139" w:type="dxa"/>
          </w:tcPr>
          <w:p w:rsidR="006158FF" w:rsidRPr="00C81C2E" w:rsidRDefault="006158FF" w:rsidP="00F0458B">
            <w:pPr>
              <w:pStyle w:val="Corpsdetexte"/>
              <w:rPr>
                <w:sz w:val="20"/>
                <w:szCs w:val="19"/>
              </w:rPr>
            </w:pPr>
            <w:r w:rsidRPr="00C81C2E">
              <w:rPr>
                <w:sz w:val="20"/>
                <w:szCs w:val="19"/>
              </w:rPr>
              <w:t>Professeurs</w:t>
            </w:r>
          </w:p>
        </w:tc>
        <w:tc>
          <w:tcPr>
            <w:tcW w:w="1096" w:type="dxa"/>
            <w:tcBorders>
              <w:right w:val="single" w:sz="4" w:space="0" w:color="auto"/>
            </w:tcBorders>
          </w:tcPr>
          <w:p w:rsidR="006158FF" w:rsidRPr="000E65D9" w:rsidRDefault="006158FF" w:rsidP="00F0458B">
            <w:pPr>
              <w:pStyle w:val="Corpsdetexte"/>
              <w:jc w:val="center"/>
              <w:rPr>
                <w:sz w:val="20"/>
                <w:szCs w:val="20"/>
              </w:rPr>
            </w:pPr>
            <w:r w:rsidRPr="000E65D9">
              <w:rPr>
                <w:sz w:val="20"/>
                <w:szCs w:val="20"/>
              </w:rPr>
              <w:t>60%</w:t>
            </w:r>
          </w:p>
        </w:tc>
        <w:tc>
          <w:tcPr>
            <w:tcW w:w="1275" w:type="dxa"/>
            <w:tcBorders>
              <w:left w:val="single" w:sz="4" w:space="0" w:color="auto"/>
              <w:right w:val="single" w:sz="4" w:space="0" w:color="auto"/>
            </w:tcBorders>
          </w:tcPr>
          <w:p w:rsidR="006158FF" w:rsidRPr="000E65D9" w:rsidRDefault="006158FF" w:rsidP="00F0458B">
            <w:pPr>
              <w:pStyle w:val="Corpsdetexte"/>
              <w:jc w:val="center"/>
              <w:rPr>
                <w:sz w:val="20"/>
                <w:szCs w:val="20"/>
                <w:lang w:val="de-DE"/>
              </w:rPr>
            </w:pPr>
            <w:r w:rsidRPr="000E65D9">
              <w:rPr>
                <w:sz w:val="20"/>
                <w:szCs w:val="20"/>
                <w:lang w:val="de-DE"/>
              </w:rPr>
              <w:t>1</w:t>
            </w:r>
            <w:r>
              <w:rPr>
                <w:sz w:val="20"/>
                <w:szCs w:val="20"/>
                <w:lang w:val="de-DE"/>
              </w:rPr>
              <w:t>5</w:t>
            </w:r>
            <w:r w:rsidRPr="000E65D9">
              <w:rPr>
                <w:sz w:val="20"/>
                <w:szCs w:val="20"/>
                <w:lang w:val="de-DE"/>
              </w:rPr>
              <w:t>%</w:t>
            </w:r>
          </w:p>
        </w:tc>
        <w:tc>
          <w:tcPr>
            <w:tcW w:w="866" w:type="dxa"/>
            <w:tcBorders>
              <w:left w:val="single" w:sz="4" w:space="0" w:color="auto"/>
            </w:tcBorders>
          </w:tcPr>
          <w:p w:rsidR="006158FF" w:rsidRPr="000E65D9" w:rsidRDefault="006158FF" w:rsidP="00F0458B">
            <w:pPr>
              <w:pStyle w:val="Corpsdetexte"/>
              <w:jc w:val="center"/>
              <w:rPr>
                <w:sz w:val="20"/>
                <w:szCs w:val="20"/>
              </w:rPr>
            </w:pPr>
            <w:r>
              <w:rPr>
                <w:sz w:val="20"/>
                <w:szCs w:val="20"/>
                <w:lang w:val="de-DE"/>
              </w:rPr>
              <w:t>38</w:t>
            </w:r>
            <w:r w:rsidRPr="000E65D9">
              <w:rPr>
                <w:sz w:val="20"/>
                <w:szCs w:val="20"/>
                <w:lang w:val="de-DE"/>
              </w:rPr>
              <w:t>%</w:t>
            </w:r>
          </w:p>
        </w:tc>
        <w:tc>
          <w:tcPr>
            <w:tcW w:w="1261" w:type="dxa"/>
            <w:tcBorders>
              <w:right w:val="single" w:sz="4" w:space="0" w:color="auto"/>
            </w:tcBorders>
          </w:tcPr>
          <w:p w:rsidR="006158FF" w:rsidRPr="000E65D9" w:rsidRDefault="006158FF" w:rsidP="00F0458B">
            <w:pPr>
              <w:pStyle w:val="Corpsdetexte"/>
              <w:jc w:val="center"/>
              <w:rPr>
                <w:sz w:val="20"/>
                <w:szCs w:val="20"/>
              </w:rPr>
            </w:pPr>
            <w:r w:rsidRPr="000E65D9">
              <w:rPr>
                <w:sz w:val="20"/>
                <w:szCs w:val="20"/>
              </w:rPr>
              <w:t>65.75</w:t>
            </w:r>
            <w:r>
              <w:rPr>
                <w:sz w:val="20"/>
                <w:szCs w:val="20"/>
              </w:rPr>
              <w:t>%</w:t>
            </w:r>
          </w:p>
        </w:tc>
        <w:tc>
          <w:tcPr>
            <w:tcW w:w="1379" w:type="dxa"/>
            <w:tcBorders>
              <w:left w:val="single" w:sz="4" w:space="0" w:color="auto"/>
              <w:right w:val="single" w:sz="4" w:space="0" w:color="auto"/>
            </w:tcBorders>
          </w:tcPr>
          <w:p w:rsidR="006158FF" w:rsidRPr="000E65D9" w:rsidRDefault="006158FF" w:rsidP="00F0458B">
            <w:pPr>
              <w:pStyle w:val="Corpsdetexte"/>
              <w:jc w:val="center"/>
              <w:rPr>
                <w:sz w:val="20"/>
                <w:szCs w:val="20"/>
              </w:rPr>
            </w:pPr>
            <w:r>
              <w:rPr>
                <w:sz w:val="20"/>
                <w:szCs w:val="20"/>
              </w:rPr>
              <w:t>8.04%</w:t>
            </w:r>
          </w:p>
        </w:tc>
        <w:tc>
          <w:tcPr>
            <w:tcW w:w="1420" w:type="dxa"/>
            <w:tcBorders>
              <w:left w:val="single" w:sz="4" w:space="0" w:color="auto"/>
            </w:tcBorders>
          </w:tcPr>
          <w:p w:rsidR="006158FF" w:rsidRPr="000E65D9" w:rsidRDefault="006158FF" w:rsidP="00F0458B">
            <w:pPr>
              <w:pStyle w:val="Corpsdetexte"/>
              <w:jc w:val="center"/>
              <w:rPr>
                <w:sz w:val="20"/>
                <w:szCs w:val="20"/>
              </w:rPr>
            </w:pPr>
            <w:r>
              <w:rPr>
                <w:sz w:val="20"/>
                <w:szCs w:val="20"/>
              </w:rPr>
              <w:t>26.21%</w:t>
            </w:r>
          </w:p>
        </w:tc>
      </w:tr>
    </w:tbl>
    <w:p w:rsidR="006158FF" w:rsidRDefault="006158FF" w:rsidP="006158FF">
      <w:pPr>
        <w:jc w:val="both"/>
      </w:pPr>
    </w:p>
    <w:p w:rsidR="006158FF" w:rsidRDefault="006158FF" w:rsidP="006158FF">
      <w:pPr>
        <w:jc w:val="both"/>
      </w:pPr>
      <w:r>
        <w:t xml:space="preserve">     Il ressort de l’analyse des pratiques linguistiques des enquêtés francophones que l’arabe dialectal est la langue la plus utilisée dans les échanges oraux en famille bien que le recours au français augmente entre frère et sœur  (2001 : 17%, 2007 : 25.33%), mais il baisse entre les amis (2001 : 30%, 2007 : 25%). Les informateurs de 2001 disent recourir au français lorsqu’ils se trouvent dans un endroit tranquille : « c’est plus discret », « on est plus à l’aise », « les mots viennent vite ».  En revanche, ceux de 2007 évitent de parler en français dans les lieux publics pour ne pas être sujet à moquerie. Ce problème ne se pose pas lorsqu’ils sont amenés à parler en anglais. Aux yeux des jeunes, la langue de l’oncle Sam s’associe à « la modernité », « la puissance » et à « la réussite professionnelle » alors que le français est considéré comme la langue « des anciens », « du passé » et « de la littérature », d’autant plus que les Français natifs émaillent leur discours de termes anglais. </w:t>
      </w:r>
    </w:p>
    <w:p w:rsidR="006158FF" w:rsidRDefault="006158FF" w:rsidP="006158FF">
      <w:pPr>
        <w:jc w:val="both"/>
        <w:rPr>
          <w:u w:val="single"/>
        </w:rPr>
      </w:pPr>
    </w:p>
    <w:p w:rsidR="006158FF" w:rsidRDefault="006158FF" w:rsidP="006158FF">
      <w:pPr>
        <w:pStyle w:val="Corpsdetexte"/>
        <w:rPr>
          <w:szCs w:val="23"/>
          <w:u w:val="single"/>
        </w:rPr>
      </w:pPr>
      <w:r w:rsidRPr="00431F6A">
        <w:rPr>
          <w:szCs w:val="23"/>
        </w:rPr>
        <w:t>6.2</w:t>
      </w:r>
      <w:r>
        <w:rPr>
          <w:szCs w:val="23"/>
          <w:u w:val="single"/>
        </w:rPr>
        <w:t xml:space="preserve"> Choix de la (les) langue(s) pour …</w:t>
      </w:r>
    </w:p>
    <w:p w:rsidR="006158FF" w:rsidRDefault="006158FF" w:rsidP="006158FF">
      <w:pPr>
        <w:pStyle w:val="Corpsdetexte"/>
        <w:rPr>
          <w:szCs w:val="23"/>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850"/>
        <w:gridCol w:w="851"/>
        <w:gridCol w:w="850"/>
        <w:gridCol w:w="851"/>
        <w:gridCol w:w="850"/>
        <w:gridCol w:w="905"/>
      </w:tblGrid>
      <w:tr w:rsidR="006158FF" w:rsidRPr="006158FF" w:rsidTr="00F0458B">
        <w:tc>
          <w:tcPr>
            <w:tcW w:w="3227" w:type="dxa"/>
            <w:vMerge w:val="restart"/>
            <w:tcBorders>
              <w:right w:val="single" w:sz="4" w:space="0" w:color="auto"/>
            </w:tcBorders>
          </w:tcPr>
          <w:p w:rsidR="006158FF" w:rsidRPr="002A063D" w:rsidRDefault="006158FF" w:rsidP="00F0458B">
            <w:pPr>
              <w:pStyle w:val="Corpsdetexte"/>
              <w:rPr>
                <w:sz w:val="20"/>
                <w:szCs w:val="20"/>
                <w:u w:val="single"/>
              </w:rPr>
            </w:pPr>
          </w:p>
        </w:tc>
        <w:tc>
          <w:tcPr>
            <w:tcW w:w="2551" w:type="dxa"/>
            <w:gridSpan w:val="3"/>
            <w:tcBorders>
              <w:right w:val="single" w:sz="4" w:space="0" w:color="auto"/>
            </w:tcBorders>
          </w:tcPr>
          <w:p w:rsidR="006158FF" w:rsidRPr="00B73B0C" w:rsidRDefault="006158FF" w:rsidP="00F0458B">
            <w:pPr>
              <w:pStyle w:val="Corpsdetexte"/>
              <w:jc w:val="center"/>
              <w:rPr>
                <w:sz w:val="20"/>
                <w:szCs w:val="20"/>
              </w:rPr>
            </w:pPr>
            <w:r w:rsidRPr="00B73B0C">
              <w:rPr>
                <w:sz w:val="20"/>
                <w:szCs w:val="20"/>
              </w:rPr>
              <w:t>Enquêtes 2001</w:t>
            </w:r>
          </w:p>
        </w:tc>
        <w:tc>
          <w:tcPr>
            <w:tcW w:w="2606" w:type="dxa"/>
            <w:gridSpan w:val="3"/>
            <w:tcBorders>
              <w:left w:val="single" w:sz="4" w:space="0" w:color="auto"/>
            </w:tcBorders>
          </w:tcPr>
          <w:p w:rsidR="006158FF" w:rsidRPr="00B73B0C" w:rsidRDefault="006158FF" w:rsidP="00F0458B">
            <w:pPr>
              <w:pStyle w:val="Corpsdetexte"/>
              <w:jc w:val="center"/>
              <w:rPr>
                <w:sz w:val="20"/>
                <w:szCs w:val="20"/>
              </w:rPr>
            </w:pPr>
            <w:r w:rsidRPr="00B73B0C">
              <w:rPr>
                <w:sz w:val="20"/>
                <w:szCs w:val="20"/>
              </w:rPr>
              <w:t>Enquêtes 2007</w:t>
            </w:r>
          </w:p>
        </w:tc>
      </w:tr>
      <w:tr w:rsidR="006158FF" w:rsidRPr="006158FF" w:rsidTr="00F0458B">
        <w:tc>
          <w:tcPr>
            <w:tcW w:w="3227" w:type="dxa"/>
            <w:vMerge/>
            <w:tcBorders>
              <w:right w:val="single" w:sz="4" w:space="0" w:color="auto"/>
            </w:tcBorders>
          </w:tcPr>
          <w:p w:rsidR="006158FF" w:rsidRPr="002A063D" w:rsidRDefault="006158FF" w:rsidP="00F0458B">
            <w:pPr>
              <w:pStyle w:val="Corpsdetexte"/>
              <w:rPr>
                <w:sz w:val="20"/>
                <w:szCs w:val="20"/>
              </w:rPr>
            </w:pPr>
          </w:p>
        </w:tc>
        <w:tc>
          <w:tcPr>
            <w:tcW w:w="850" w:type="dxa"/>
            <w:tcBorders>
              <w:right w:val="single" w:sz="4" w:space="0" w:color="auto"/>
            </w:tcBorders>
          </w:tcPr>
          <w:p w:rsidR="006158FF" w:rsidRPr="002A063D" w:rsidRDefault="006158FF" w:rsidP="00F0458B">
            <w:pPr>
              <w:pStyle w:val="Corpsdetexte"/>
              <w:jc w:val="center"/>
              <w:rPr>
                <w:sz w:val="20"/>
                <w:szCs w:val="20"/>
              </w:rPr>
            </w:pPr>
            <w:r w:rsidRPr="002A063D">
              <w:rPr>
                <w:sz w:val="20"/>
                <w:szCs w:val="20"/>
              </w:rPr>
              <w:t>français</w:t>
            </w:r>
          </w:p>
        </w:tc>
        <w:tc>
          <w:tcPr>
            <w:tcW w:w="851" w:type="dxa"/>
            <w:tcBorders>
              <w:right w:val="single" w:sz="4" w:space="0" w:color="auto"/>
            </w:tcBorders>
          </w:tcPr>
          <w:p w:rsidR="006158FF" w:rsidRPr="00B73B0C" w:rsidRDefault="006158FF" w:rsidP="00F0458B">
            <w:pPr>
              <w:pStyle w:val="Corpsdetexte"/>
              <w:jc w:val="center"/>
              <w:rPr>
                <w:sz w:val="20"/>
                <w:szCs w:val="20"/>
              </w:rPr>
            </w:pPr>
            <w:r w:rsidRPr="00B73B0C">
              <w:rPr>
                <w:sz w:val="20"/>
                <w:szCs w:val="20"/>
              </w:rPr>
              <w:t>anglais</w:t>
            </w:r>
          </w:p>
        </w:tc>
        <w:tc>
          <w:tcPr>
            <w:tcW w:w="850" w:type="dxa"/>
            <w:tcBorders>
              <w:right w:val="single" w:sz="4" w:space="0" w:color="auto"/>
            </w:tcBorders>
          </w:tcPr>
          <w:p w:rsidR="006158FF" w:rsidRPr="00B73B0C" w:rsidRDefault="006158FF" w:rsidP="00F0458B">
            <w:pPr>
              <w:pStyle w:val="Corpsdetexte"/>
              <w:jc w:val="center"/>
              <w:rPr>
                <w:sz w:val="20"/>
                <w:szCs w:val="20"/>
                <w:u w:val="single"/>
              </w:rPr>
            </w:pPr>
            <w:r w:rsidRPr="00B73B0C">
              <w:rPr>
                <w:sz w:val="20"/>
                <w:szCs w:val="20"/>
              </w:rPr>
              <w:t>arabe</w:t>
            </w:r>
          </w:p>
        </w:tc>
        <w:tc>
          <w:tcPr>
            <w:tcW w:w="851" w:type="dxa"/>
            <w:tcBorders>
              <w:left w:val="single" w:sz="4" w:space="0" w:color="auto"/>
              <w:right w:val="single" w:sz="4" w:space="0" w:color="auto"/>
            </w:tcBorders>
          </w:tcPr>
          <w:p w:rsidR="006158FF" w:rsidRPr="00B73B0C" w:rsidRDefault="006158FF" w:rsidP="00F0458B">
            <w:pPr>
              <w:pStyle w:val="Corpsdetexte"/>
              <w:jc w:val="center"/>
              <w:rPr>
                <w:sz w:val="20"/>
                <w:szCs w:val="20"/>
              </w:rPr>
            </w:pPr>
            <w:r w:rsidRPr="00B73B0C">
              <w:rPr>
                <w:sz w:val="20"/>
                <w:szCs w:val="20"/>
              </w:rPr>
              <w:t>français</w:t>
            </w:r>
          </w:p>
        </w:tc>
        <w:tc>
          <w:tcPr>
            <w:tcW w:w="850" w:type="dxa"/>
            <w:tcBorders>
              <w:left w:val="single" w:sz="4" w:space="0" w:color="auto"/>
              <w:right w:val="single" w:sz="4" w:space="0" w:color="auto"/>
            </w:tcBorders>
          </w:tcPr>
          <w:p w:rsidR="006158FF" w:rsidRPr="00B73B0C" w:rsidRDefault="006158FF" w:rsidP="00F0458B">
            <w:pPr>
              <w:pStyle w:val="Corpsdetexte"/>
              <w:jc w:val="center"/>
              <w:rPr>
                <w:sz w:val="20"/>
                <w:szCs w:val="20"/>
              </w:rPr>
            </w:pPr>
            <w:r w:rsidRPr="00B73B0C">
              <w:rPr>
                <w:sz w:val="20"/>
                <w:szCs w:val="20"/>
              </w:rPr>
              <w:t>anglais</w:t>
            </w:r>
          </w:p>
        </w:tc>
        <w:tc>
          <w:tcPr>
            <w:tcW w:w="905" w:type="dxa"/>
            <w:tcBorders>
              <w:left w:val="single" w:sz="4" w:space="0" w:color="auto"/>
            </w:tcBorders>
          </w:tcPr>
          <w:p w:rsidR="006158FF" w:rsidRPr="00B73B0C" w:rsidRDefault="006158FF" w:rsidP="00F0458B">
            <w:pPr>
              <w:pStyle w:val="Corpsdetexte"/>
              <w:jc w:val="center"/>
              <w:rPr>
                <w:sz w:val="20"/>
                <w:szCs w:val="20"/>
                <w:u w:val="single"/>
              </w:rPr>
            </w:pPr>
            <w:r w:rsidRPr="00B73B0C">
              <w:rPr>
                <w:sz w:val="20"/>
                <w:szCs w:val="20"/>
              </w:rPr>
              <w:t>arabe</w:t>
            </w:r>
          </w:p>
        </w:tc>
      </w:tr>
      <w:tr w:rsidR="006158FF" w:rsidRPr="006158FF" w:rsidTr="00F0458B">
        <w:tc>
          <w:tcPr>
            <w:tcW w:w="3227" w:type="dxa"/>
            <w:tcBorders>
              <w:right w:val="single" w:sz="4" w:space="0" w:color="auto"/>
            </w:tcBorders>
          </w:tcPr>
          <w:p w:rsidR="006158FF" w:rsidRPr="007772C6" w:rsidRDefault="006158FF" w:rsidP="00F0458B">
            <w:pPr>
              <w:pStyle w:val="Corpsdetexte"/>
              <w:rPr>
                <w:sz w:val="20"/>
                <w:szCs w:val="20"/>
              </w:rPr>
            </w:pPr>
            <w:r>
              <w:rPr>
                <w:sz w:val="20"/>
                <w:szCs w:val="20"/>
              </w:rPr>
              <w:t>- c</w:t>
            </w:r>
            <w:r w:rsidRPr="007772C6">
              <w:rPr>
                <w:sz w:val="20"/>
                <w:szCs w:val="20"/>
              </w:rPr>
              <w:t>onsulter  des ouvrages spécialisés</w:t>
            </w:r>
          </w:p>
        </w:tc>
        <w:tc>
          <w:tcPr>
            <w:tcW w:w="850" w:type="dxa"/>
            <w:tcBorders>
              <w:right w:val="single" w:sz="4" w:space="0" w:color="auto"/>
            </w:tcBorders>
          </w:tcPr>
          <w:p w:rsidR="006158FF" w:rsidRPr="00C93131" w:rsidRDefault="006158FF" w:rsidP="00F0458B">
            <w:pPr>
              <w:pStyle w:val="Corpsdetexte"/>
              <w:jc w:val="center"/>
              <w:rPr>
                <w:sz w:val="18"/>
                <w:szCs w:val="18"/>
              </w:rPr>
            </w:pPr>
            <w:r w:rsidRPr="00C93131">
              <w:rPr>
                <w:sz w:val="18"/>
                <w:szCs w:val="18"/>
              </w:rPr>
              <w:t>60.93%</w:t>
            </w:r>
          </w:p>
        </w:tc>
        <w:tc>
          <w:tcPr>
            <w:tcW w:w="851" w:type="dxa"/>
            <w:tcBorders>
              <w:right w:val="single" w:sz="4" w:space="0" w:color="auto"/>
            </w:tcBorders>
          </w:tcPr>
          <w:p w:rsidR="006158FF" w:rsidRPr="00C93131" w:rsidRDefault="006158FF" w:rsidP="00F0458B">
            <w:pPr>
              <w:pStyle w:val="Corpsdetexte"/>
              <w:jc w:val="center"/>
              <w:rPr>
                <w:sz w:val="18"/>
                <w:szCs w:val="18"/>
              </w:rPr>
            </w:pPr>
            <w:r w:rsidRPr="00C93131">
              <w:rPr>
                <w:sz w:val="18"/>
                <w:szCs w:val="18"/>
              </w:rPr>
              <w:t>16.74 %</w:t>
            </w:r>
          </w:p>
        </w:tc>
        <w:tc>
          <w:tcPr>
            <w:tcW w:w="850" w:type="dxa"/>
            <w:tcBorders>
              <w:right w:val="single" w:sz="4" w:space="0" w:color="auto"/>
            </w:tcBorders>
          </w:tcPr>
          <w:p w:rsidR="006158FF" w:rsidRPr="00C93131" w:rsidRDefault="006158FF" w:rsidP="00F0458B">
            <w:pPr>
              <w:pStyle w:val="Corpsdetexte"/>
              <w:jc w:val="center"/>
              <w:rPr>
                <w:sz w:val="18"/>
                <w:szCs w:val="18"/>
              </w:rPr>
            </w:pPr>
            <w:r w:rsidRPr="00C93131">
              <w:rPr>
                <w:sz w:val="18"/>
                <w:szCs w:val="18"/>
              </w:rPr>
              <w:t>22.32%</w:t>
            </w:r>
          </w:p>
        </w:tc>
        <w:tc>
          <w:tcPr>
            <w:tcW w:w="851" w:type="dxa"/>
            <w:tcBorders>
              <w:left w:val="single" w:sz="4" w:space="0" w:color="auto"/>
              <w:right w:val="single" w:sz="4" w:space="0" w:color="auto"/>
            </w:tcBorders>
          </w:tcPr>
          <w:p w:rsidR="006158FF" w:rsidRPr="00C93131" w:rsidRDefault="006158FF" w:rsidP="00F0458B">
            <w:pPr>
              <w:pStyle w:val="Corpsdetexte"/>
              <w:jc w:val="center"/>
              <w:rPr>
                <w:sz w:val="18"/>
                <w:szCs w:val="18"/>
              </w:rPr>
            </w:pPr>
            <w:r w:rsidRPr="00C93131">
              <w:rPr>
                <w:sz w:val="18"/>
                <w:szCs w:val="18"/>
              </w:rPr>
              <w:t>61.79%</w:t>
            </w:r>
          </w:p>
        </w:tc>
        <w:tc>
          <w:tcPr>
            <w:tcW w:w="850" w:type="dxa"/>
            <w:tcBorders>
              <w:left w:val="single" w:sz="4" w:space="0" w:color="auto"/>
              <w:right w:val="single" w:sz="4" w:space="0" w:color="auto"/>
            </w:tcBorders>
          </w:tcPr>
          <w:p w:rsidR="006158FF" w:rsidRPr="00C93131" w:rsidRDefault="006158FF" w:rsidP="00F0458B">
            <w:pPr>
              <w:pStyle w:val="Corpsdetexte"/>
              <w:jc w:val="center"/>
              <w:rPr>
                <w:sz w:val="18"/>
                <w:szCs w:val="18"/>
              </w:rPr>
            </w:pPr>
            <w:r w:rsidRPr="00C93131">
              <w:rPr>
                <w:sz w:val="18"/>
                <w:szCs w:val="18"/>
              </w:rPr>
              <w:t>16.57%</w:t>
            </w:r>
          </w:p>
        </w:tc>
        <w:tc>
          <w:tcPr>
            <w:tcW w:w="905" w:type="dxa"/>
            <w:tcBorders>
              <w:left w:val="single" w:sz="4" w:space="0" w:color="auto"/>
            </w:tcBorders>
          </w:tcPr>
          <w:p w:rsidR="006158FF" w:rsidRPr="00C93131" w:rsidRDefault="006158FF" w:rsidP="00F0458B">
            <w:pPr>
              <w:pStyle w:val="Corpsdetexte"/>
              <w:jc w:val="center"/>
              <w:rPr>
                <w:sz w:val="18"/>
                <w:szCs w:val="18"/>
              </w:rPr>
            </w:pPr>
            <w:r w:rsidRPr="00C93131">
              <w:rPr>
                <w:sz w:val="18"/>
                <w:szCs w:val="18"/>
              </w:rPr>
              <w:t>21.64%</w:t>
            </w:r>
          </w:p>
        </w:tc>
      </w:tr>
      <w:tr w:rsidR="006158FF" w:rsidRPr="006158FF" w:rsidTr="00F0458B">
        <w:tc>
          <w:tcPr>
            <w:tcW w:w="3227" w:type="dxa"/>
            <w:tcBorders>
              <w:right w:val="single" w:sz="4" w:space="0" w:color="auto"/>
            </w:tcBorders>
          </w:tcPr>
          <w:p w:rsidR="006158FF" w:rsidRPr="007772C6" w:rsidRDefault="006158FF" w:rsidP="00F0458B">
            <w:pPr>
              <w:pStyle w:val="Corpsdetexte"/>
              <w:rPr>
                <w:sz w:val="20"/>
                <w:szCs w:val="20"/>
              </w:rPr>
            </w:pPr>
            <w:r>
              <w:rPr>
                <w:sz w:val="20"/>
                <w:szCs w:val="20"/>
              </w:rPr>
              <w:t>- l</w:t>
            </w:r>
            <w:r w:rsidRPr="007772C6">
              <w:rPr>
                <w:sz w:val="20"/>
                <w:szCs w:val="20"/>
              </w:rPr>
              <w:t>ire des romans/ Journaux/ revues</w:t>
            </w:r>
          </w:p>
        </w:tc>
        <w:tc>
          <w:tcPr>
            <w:tcW w:w="850" w:type="dxa"/>
            <w:tcBorders>
              <w:right w:val="single" w:sz="4" w:space="0" w:color="auto"/>
            </w:tcBorders>
          </w:tcPr>
          <w:p w:rsidR="006158FF" w:rsidRPr="00C93131" w:rsidRDefault="006158FF" w:rsidP="00F0458B">
            <w:pPr>
              <w:pStyle w:val="Corpsdetexte"/>
              <w:jc w:val="center"/>
              <w:rPr>
                <w:sz w:val="18"/>
                <w:szCs w:val="18"/>
              </w:rPr>
            </w:pPr>
            <w:r>
              <w:rPr>
                <w:sz w:val="18"/>
                <w:szCs w:val="18"/>
              </w:rPr>
              <w:t>43.37</w:t>
            </w:r>
            <w:r w:rsidRPr="00C93131">
              <w:rPr>
                <w:sz w:val="18"/>
                <w:szCs w:val="18"/>
              </w:rPr>
              <w:t>%</w:t>
            </w:r>
          </w:p>
        </w:tc>
        <w:tc>
          <w:tcPr>
            <w:tcW w:w="851" w:type="dxa"/>
            <w:tcBorders>
              <w:right w:val="single" w:sz="4" w:space="0" w:color="auto"/>
            </w:tcBorders>
          </w:tcPr>
          <w:p w:rsidR="006158FF" w:rsidRPr="00C93131" w:rsidRDefault="006158FF" w:rsidP="00F0458B">
            <w:pPr>
              <w:pStyle w:val="Corpsdetexte"/>
              <w:jc w:val="center"/>
              <w:rPr>
                <w:sz w:val="18"/>
                <w:szCs w:val="18"/>
              </w:rPr>
            </w:pPr>
            <w:r>
              <w:rPr>
                <w:sz w:val="18"/>
                <w:szCs w:val="18"/>
              </w:rPr>
              <w:t>12.32</w:t>
            </w:r>
            <w:r w:rsidRPr="00C93131">
              <w:rPr>
                <w:sz w:val="18"/>
                <w:szCs w:val="18"/>
              </w:rPr>
              <w:t>%</w:t>
            </w:r>
          </w:p>
        </w:tc>
        <w:tc>
          <w:tcPr>
            <w:tcW w:w="850" w:type="dxa"/>
            <w:tcBorders>
              <w:right w:val="single" w:sz="4" w:space="0" w:color="auto"/>
            </w:tcBorders>
          </w:tcPr>
          <w:p w:rsidR="006158FF" w:rsidRPr="00C93131" w:rsidRDefault="006158FF" w:rsidP="00F0458B">
            <w:pPr>
              <w:pStyle w:val="Corpsdetexte"/>
              <w:jc w:val="center"/>
              <w:rPr>
                <w:sz w:val="18"/>
                <w:szCs w:val="18"/>
              </w:rPr>
            </w:pPr>
            <w:r>
              <w:rPr>
                <w:sz w:val="18"/>
                <w:szCs w:val="18"/>
              </w:rPr>
              <w:t>44.29</w:t>
            </w:r>
            <w:r w:rsidRPr="00C93131">
              <w:rPr>
                <w:sz w:val="18"/>
                <w:szCs w:val="18"/>
              </w:rPr>
              <w:t>%</w:t>
            </w:r>
          </w:p>
        </w:tc>
        <w:tc>
          <w:tcPr>
            <w:tcW w:w="851" w:type="dxa"/>
            <w:tcBorders>
              <w:left w:val="single" w:sz="4" w:space="0" w:color="auto"/>
              <w:right w:val="single" w:sz="4" w:space="0" w:color="auto"/>
            </w:tcBorders>
          </w:tcPr>
          <w:p w:rsidR="006158FF" w:rsidRPr="00C93131" w:rsidRDefault="006158FF" w:rsidP="00F0458B">
            <w:pPr>
              <w:pStyle w:val="Corpsdetexte"/>
              <w:jc w:val="center"/>
              <w:rPr>
                <w:sz w:val="18"/>
                <w:szCs w:val="18"/>
              </w:rPr>
            </w:pPr>
            <w:r w:rsidRPr="00C93131">
              <w:rPr>
                <w:sz w:val="18"/>
                <w:szCs w:val="18"/>
              </w:rPr>
              <w:t>48.55%</w:t>
            </w:r>
          </w:p>
        </w:tc>
        <w:tc>
          <w:tcPr>
            <w:tcW w:w="850" w:type="dxa"/>
            <w:tcBorders>
              <w:left w:val="single" w:sz="4" w:space="0" w:color="auto"/>
              <w:right w:val="single" w:sz="4" w:space="0" w:color="auto"/>
            </w:tcBorders>
          </w:tcPr>
          <w:p w:rsidR="006158FF" w:rsidRPr="00C93131" w:rsidRDefault="006158FF" w:rsidP="00F0458B">
            <w:pPr>
              <w:pStyle w:val="Corpsdetexte"/>
              <w:jc w:val="center"/>
              <w:rPr>
                <w:sz w:val="18"/>
                <w:szCs w:val="18"/>
              </w:rPr>
            </w:pPr>
            <w:r w:rsidRPr="00C93131">
              <w:rPr>
                <w:sz w:val="18"/>
                <w:szCs w:val="18"/>
              </w:rPr>
              <w:t>17.62%</w:t>
            </w:r>
          </w:p>
        </w:tc>
        <w:tc>
          <w:tcPr>
            <w:tcW w:w="905" w:type="dxa"/>
            <w:tcBorders>
              <w:left w:val="single" w:sz="4" w:space="0" w:color="auto"/>
            </w:tcBorders>
          </w:tcPr>
          <w:p w:rsidR="006158FF" w:rsidRPr="00C93131" w:rsidRDefault="006158FF" w:rsidP="00F0458B">
            <w:pPr>
              <w:pStyle w:val="Corpsdetexte"/>
              <w:jc w:val="center"/>
              <w:rPr>
                <w:sz w:val="18"/>
                <w:szCs w:val="18"/>
              </w:rPr>
            </w:pPr>
            <w:r w:rsidRPr="00C93131">
              <w:rPr>
                <w:sz w:val="18"/>
                <w:szCs w:val="18"/>
              </w:rPr>
              <w:t>33.65%</w:t>
            </w:r>
          </w:p>
        </w:tc>
      </w:tr>
      <w:tr w:rsidR="006158FF" w:rsidRPr="006158FF" w:rsidTr="00F0458B">
        <w:tc>
          <w:tcPr>
            <w:tcW w:w="3227" w:type="dxa"/>
            <w:tcBorders>
              <w:top w:val="single" w:sz="4" w:space="0" w:color="000000"/>
              <w:left w:val="single" w:sz="4" w:space="0" w:color="000000"/>
              <w:bottom w:val="single" w:sz="4" w:space="0" w:color="000000"/>
              <w:right w:val="single" w:sz="4" w:space="0" w:color="auto"/>
            </w:tcBorders>
          </w:tcPr>
          <w:p w:rsidR="006158FF" w:rsidRPr="002A063D" w:rsidRDefault="006158FF" w:rsidP="00F0458B">
            <w:pPr>
              <w:pStyle w:val="Corpsdetexte"/>
              <w:rPr>
                <w:sz w:val="20"/>
                <w:szCs w:val="20"/>
              </w:rPr>
            </w:pPr>
            <w:r>
              <w:rPr>
                <w:sz w:val="20"/>
                <w:szCs w:val="20"/>
              </w:rPr>
              <w:t>- écouter des chansons</w:t>
            </w:r>
          </w:p>
        </w:tc>
        <w:tc>
          <w:tcPr>
            <w:tcW w:w="850" w:type="dxa"/>
            <w:tcBorders>
              <w:top w:val="single" w:sz="4" w:space="0" w:color="000000"/>
              <w:left w:val="single" w:sz="4" w:space="0" w:color="000000"/>
              <w:bottom w:val="single" w:sz="4" w:space="0" w:color="000000"/>
              <w:right w:val="single" w:sz="4" w:space="0" w:color="auto"/>
            </w:tcBorders>
          </w:tcPr>
          <w:p w:rsidR="006158FF" w:rsidRPr="00C93131" w:rsidRDefault="006158FF" w:rsidP="00F0458B">
            <w:pPr>
              <w:pStyle w:val="Corpsdetexte"/>
              <w:jc w:val="center"/>
              <w:rPr>
                <w:sz w:val="18"/>
                <w:szCs w:val="18"/>
              </w:rPr>
            </w:pPr>
            <w:r w:rsidRPr="00C93131">
              <w:rPr>
                <w:sz w:val="18"/>
                <w:szCs w:val="18"/>
              </w:rPr>
              <w:t>35.74%</w:t>
            </w:r>
          </w:p>
        </w:tc>
        <w:tc>
          <w:tcPr>
            <w:tcW w:w="851" w:type="dxa"/>
            <w:tcBorders>
              <w:top w:val="single" w:sz="4" w:space="0" w:color="000000"/>
              <w:left w:val="single" w:sz="4" w:space="0" w:color="000000"/>
              <w:bottom w:val="single" w:sz="4" w:space="0" w:color="000000"/>
              <w:right w:val="single" w:sz="4" w:space="0" w:color="auto"/>
            </w:tcBorders>
          </w:tcPr>
          <w:p w:rsidR="006158FF" w:rsidRPr="00C93131" w:rsidRDefault="006158FF" w:rsidP="00F0458B">
            <w:pPr>
              <w:pStyle w:val="Corpsdetexte"/>
              <w:jc w:val="center"/>
              <w:rPr>
                <w:sz w:val="18"/>
                <w:szCs w:val="18"/>
              </w:rPr>
            </w:pPr>
            <w:r w:rsidRPr="00C93131">
              <w:rPr>
                <w:sz w:val="18"/>
                <w:szCs w:val="18"/>
              </w:rPr>
              <w:t>29.96%</w:t>
            </w:r>
          </w:p>
        </w:tc>
        <w:tc>
          <w:tcPr>
            <w:tcW w:w="850" w:type="dxa"/>
            <w:tcBorders>
              <w:top w:val="single" w:sz="4" w:space="0" w:color="000000"/>
              <w:left w:val="single" w:sz="4" w:space="0" w:color="000000"/>
              <w:bottom w:val="single" w:sz="4" w:space="0" w:color="000000"/>
              <w:right w:val="single" w:sz="4" w:space="0" w:color="auto"/>
            </w:tcBorders>
          </w:tcPr>
          <w:p w:rsidR="006158FF" w:rsidRPr="00C93131" w:rsidRDefault="006158FF" w:rsidP="00F0458B">
            <w:pPr>
              <w:pStyle w:val="Corpsdetexte"/>
              <w:jc w:val="center"/>
              <w:rPr>
                <w:sz w:val="18"/>
                <w:szCs w:val="18"/>
              </w:rPr>
            </w:pPr>
            <w:r w:rsidRPr="00C93131">
              <w:rPr>
                <w:sz w:val="18"/>
                <w:szCs w:val="18"/>
              </w:rPr>
              <w:t>34.29%</w:t>
            </w:r>
          </w:p>
        </w:tc>
        <w:tc>
          <w:tcPr>
            <w:tcW w:w="851" w:type="dxa"/>
            <w:tcBorders>
              <w:top w:val="single" w:sz="4" w:space="0" w:color="000000"/>
              <w:left w:val="single" w:sz="4" w:space="0" w:color="auto"/>
              <w:bottom w:val="single" w:sz="4" w:space="0" w:color="000000"/>
              <w:right w:val="single" w:sz="4" w:space="0" w:color="auto"/>
            </w:tcBorders>
          </w:tcPr>
          <w:p w:rsidR="006158FF" w:rsidRPr="00C93131" w:rsidRDefault="006158FF" w:rsidP="00F0458B">
            <w:pPr>
              <w:pStyle w:val="Corpsdetexte"/>
              <w:jc w:val="center"/>
              <w:rPr>
                <w:sz w:val="18"/>
                <w:szCs w:val="18"/>
              </w:rPr>
            </w:pPr>
            <w:r w:rsidRPr="00C93131">
              <w:rPr>
                <w:sz w:val="18"/>
                <w:szCs w:val="18"/>
              </w:rPr>
              <w:t>29.67%</w:t>
            </w:r>
          </w:p>
        </w:tc>
        <w:tc>
          <w:tcPr>
            <w:tcW w:w="850" w:type="dxa"/>
            <w:tcBorders>
              <w:top w:val="single" w:sz="4" w:space="0" w:color="000000"/>
              <w:left w:val="single" w:sz="4" w:space="0" w:color="auto"/>
              <w:bottom w:val="single" w:sz="4" w:space="0" w:color="000000"/>
              <w:right w:val="single" w:sz="4" w:space="0" w:color="auto"/>
            </w:tcBorders>
          </w:tcPr>
          <w:p w:rsidR="006158FF" w:rsidRPr="00C93131" w:rsidRDefault="006158FF" w:rsidP="00F0458B">
            <w:pPr>
              <w:pStyle w:val="Corpsdetexte"/>
              <w:jc w:val="center"/>
              <w:rPr>
                <w:sz w:val="18"/>
                <w:szCs w:val="18"/>
              </w:rPr>
            </w:pPr>
            <w:r w:rsidRPr="00C93131">
              <w:rPr>
                <w:sz w:val="18"/>
                <w:szCs w:val="18"/>
              </w:rPr>
              <w:t>31.70%</w:t>
            </w:r>
          </w:p>
        </w:tc>
        <w:tc>
          <w:tcPr>
            <w:tcW w:w="905" w:type="dxa"/>
            <w:tcBorders>
              <w:top w:val="single" w:sz="4" w:space="0" w:color="000000"/>
              <w:left w:val="single" w:sz="4" w:space="0" w:color="auto"/>
              <w:bottom w:val="single" w:sz="4" w:space="0" w:color="000000"/>
              <w:right w:val="single" w:sz="4" w:space="0" w:color="000000"/>
            </w:tcBorders>
          </w:tcPr>
          <w:p w:rsidR="006158FF" w:rsidRPr="00C93131" w:rsidRDefault="006158FF" w:rsidP="00F0458B">
            <w:pPr>
              <w:pStyle w:val="Corpsdetexte"/>
              <w:jc w:val="center"/>
              <w:rPr>
                <w:sz w:val="18"/>
                <w:szCs w:val="18"/>
              </w:rPr>
            </w:pPr>
            <w:r w:rsidRPr="00C93131">
              <w:rPr>
                <w:sz w:val="18"/>
                <w:szCs w:val="18"/>
              </w:rPr>
              <w:t>38.64%</w:t>
            </w:r>
          </w:p>
        </w:tc>
      </w:tr>
      <w:tr w:rsidR="006158FF" w:rsidRPr="006158FF" w:rsidTr="00F0458B">
        <w:tc>
          <w:tcPr>
            <w:tcW w:w="3227" w:type="dxa"/>
            <w:tcBorders>
              <w:right w:val="single" w:sz="4" w:space="0" w:color="auto"/>
            </w:tcBorders>
          </w:tcPr>
          <w:p w:rsidR="006158FF" w:rsidRPr="002A063D" w:rsidRDefault="006158FF" w:rsidP="00F0458B">
            <w:pPr>
              <w:pStyle w:val="Corpsdetexte"/>
              <w:rPr>
                <w:sz w:val="20"/>
                <w:szCs w:val="20"/>
              </w:rPr>
            </w:pPr>
            <w:r>
              <w:rPr>
                <w:sz w:val="20"/>
                <w:szCs w:val="20"/>
              </w:rPr>
              <w:t xml:space="preserve">- regarder la télévision </w:t>
            </w:r>
          </w:p>
        </w:tc>
        <w:tc>
          <w:tcPr>
            <w:tcW w:w="850" w:type="dxa"/>
            <w:tcBorders>
              <w:right w:val="single" w:sz="4" w:space="0" w:color="auto"/>
            </w:tcBorders>
          </w:tcPr>
          <w:p w:rsidR="006158FF" w:rsidRPr="00C93131" w:rsidRDefault="006158FF" w:rsidP="00F0458B">
            <w:pPr>
              <w:pStyle w:val="Corpsdetexte"/>
              <w:jc w:val="center"/>
              <w:rPr>
                <w:sz w:val="18"/>
                <w:szCs w:val="18"/>
              </w:rPr>
            </w:pPr>
            <w:r w:rsidRPr="00C93131">
              <w:rPr>
                <w:sz w:val="18"/>
                <w:szCs w:val="18"/>
              </w:rPr>
              <w:t>22.09%</w:t>
            </w:r>
          </w:p>
        </w:tc>
        <w:tc>
          <w:tcPr>
            <w:tcW w:w="851" w:type="dxa"/>
            <w:tcBorders>
              <w:right w:val="single" w:sz="4" w:space="0" w:color="auto"/>
            </w:tcBorders>
          </w:tcPr>
          <w:p w:rsidR="006158FF" w:rsidRPr="00C93131" w:rsidRDefault="006158FF" w:rsidP="00F0458B">
            <w:pPr>
              <w:pStyle w:val="Corpsdetexte"/>
              <w:jc w:val="center"/>
              <w:rPr>
                <w:sz w:val="18"/>
                <w:szCs w:val="18"/>
              </w:rPr>
            </w:pPr>
            <w:r w:rsidRPr="00C93131">
              <w:rPr>
                <w:sz w:val="18"/>
                <w:szCs w:val="18"/>
              </w:rPr>
              <w:t>35.27%</w:t>
            </w:r>
          </w:p>
        </w:tc>
        <w:tc>
          <w:tcPr>
            <w:tcW w:w="850" w:type="dxa"/>
            <w:tcBorders>
              <w:right w:val="single" w:sz="4" w:space="0" w:color="auto"/>
            </w:tcBorders>
          </w:tcPr>
          <w:p w:rsidR="006158FF" w:rsidRPr="00C93131" w:rsidRDefault="006158FF" w:rsidP="00F0458B">
            <w:pPr>
              <w:pStyle w:val="Corpsdetexte"/>
              <w:jc w:val="center"/>
              <w:rPr>
                <w:sz w:val="18"/>
                <w:szCs w:val="18"/>
              </w:rPr>
            </w:pPr>
            <w:r w:rsidRPr="00C93131">
              <w:rPr>
                <w:sz w:val="18"/>
                <w:szCs w:val="18"/>
              </w:rPr>
              <w:t>42.63%</w:t>
            </w:r>
          </w:p>
        </w:tc>
        <w:tc>
          <w:tcPr>
            <w:tcW w:w="851" w:type="dxa"/>
            <w:tcBorders>
              <w:left w:val="single" w:sz="4" w:space="0" w:color="auto"/>
              <w:right w:val="single" w:sz="4" w:space="0" w:color="auto"/>
            </w:tcBorders>
          </w:tcPr>
          <w:p w:rsidR="006158FF" w:rsidRPr="00C93131" w:rsidRDefault="006158FF" w:rsidP="00F0458B">
            <w:pPr>
              <w:pStyle w:val="Corpsdetexte"/>
              <w:jc w:val="center"/>
              <w:rPr>
                <w:sz w:val="18"/>
                <w:szCs w:val="18"/>
              </w:rPr>
            </w:pPr>
            <w:r w:rsidRPr="00C93131">
              <w:rPr>
                <w:sz w:val="18"/>
                <w:szCs w:val="18"/>
              </w:rPr>
              <w:t>26.59%</w:t>
            </w:r>
          </w:p>
        </w:tc>
        <w:tc>
          <w:tcPr>
            <w:tcW w:w="850" w:type="dxa"/>
            <w:tcBorders>
              <w:left w:val="single" w:sz="4" w:space="0" w:color="auto"/>
              <w:right w:val="single" w:sz="4" w:space="0" w:color="auto"/>
            </w:tcBorders>
          </w:tcPr>
          <w:p w:rsidR="006158FF" w:rsidRPr="00C93131" w:rsidRDefault="006158FF" w:rsidP="00F0458B">
            <w:pPr>
              <w:pStyle w:val="Corpsdetexte"/>
              <w:jc w:val="center"/>
              <w:rPr>
                <w:sz w:val="18"/>
                <w:szCs w:val="18"/>
              </w:rPr>
            </w:pPr>
            <w:r w:rsidRPr="00C93131">
              <w:rPr>
                <w:sz w:val="18"/>
                <w:szCs w:val="18"/>
              </w:rPr>
              <w:t>34.25%</w:t>
            </w:r>
          </w:p>
        </w:tc>
        <w:tc>
          <w:tcPr>
            <w:tcW w:w="905" w:type="dxa"/>
            <w:tcBorders>
              <w:left w:val="single" w:sz="4" w:space="0" w:color="auto"/>
            </w:tcBorders>
          </w:tcPr>
          <w:p w:rsidR="006158FF" w:rsidRPr="00C93131" w:rsidRDefault="006158FF" w:rsidP="00F0458B">
            <w:pPr>
              <w:pStyle w:val="Corpsdetexte"/>
              <w:jc w:val="center"/>
              <w:rPr>
                <w:sz w:val="18"/>
                <w:szCs w:val="18"/>
              </w:rPr>
            </w:pPr>
            <w:r w:rsidRPr="00C93131">
              <w:rPr>
                <w:sz w:val="18"/>
                <w:szCs w:val="18"/>
              </w:rPr>
              <w:t>39.16%</w:t>
            </w:r>
          </w:p>
        </w:tc>
      </w:tr>
    </w:tbl>
    <w:p w:rsidR="006158FF" w:rsidRDefault="006158FF" w:rsidP="006158FF">
      <w:pPr>
        <w:ind w:right="170"/>
        <w:jc w:val="both"/>
      </w:pPr>
    </w:p>
    <w:p w:rsidR="006158FF" w:rsidRDefault="006158FF" w:rsidP="006158FF">
      <w:pPr>
        <w:ind w:right="170"/>
        <w:jc w:val="both"/>
      </w:pPr>
      <w:r>
        <w:t xml:space="preserve">     En 2007, le pourcentage de personnes consultant des ouvrages spécialisés en français est quasi-identique à celui de 2001. En revanche, l’engouement pour les chansons anglo-saxonnes est en légère augmentation chez les informateurs de 2007. Il reste à savoir que le taux d’audience des programmes de télévision en français gagne environ 4 points par comparaison avec celui de l’arabe qui en perd 5. L’anglais pour sa part,  maintient sa position. </w:t>
      </w:r>
    </w:p>
    <w:p w:rsidR="006158FF" w:rsidRDefault="006158FF" w:rsidP="006158FF">
      <w:pPr>
        <w:spacing w:before="240" w:after="240"/>
        <w:jc w:val="both"/>
        <w:rPr>
          <w:rFonts w:eastAsia="MS Mincho"/>
        </w:rPr>
      </w:pPr>
      <w:r>
        <w:rPr>
          <w:rFonts w:eastAsia="MS Mincho"/>
        </w:rPr>
        <w:t xml:space="preserve">   En définitive, l’utilisation du français est faible par rapport au nombre d’années  consacrées à l’enseignement du/ en français. A notre sens, les efforts que déploient l’Etat libanais et les institutions francophones pour consolider sa place sont insuffisants tant qu’ils se focalisent </w:t>
      </w:r>
      <w:r>
        <w:rPr>
          <w:rFonts w:eastAsia="MS Mincho"/>
          <w:i/>
          <w:iCs/>
        </w:rPr>
        <w:t>exclusivement</w:t>
      </w:r>
      <w:r>
        <w:rPr>
          <w:rFonts w:eastAsia="MS Mincho"/>
        </w:rPr>
        <w:t xml:space="preserve"> sur l’enseignement. On sait désormais qu’une langue n’a de chance d’être maîtrisée que si elle bénéficie d’un environnement qui permette à tous de réinvestir dans la vie quotidienne ce qui a été acquis dans </w:t>
      </w:r>
      <w:r>
        <w:rPr>
          <w:rFonts w:eastAsia="MS Mincho"/>
        </w:rPr>
        <w:lastRenderedPageBreak/>
        <w:t xml:space="preserve">le cadre scolaire. </w:t>
      </w:r>
    </w:p>
    <w:p w:rsidR="006158FF" w:rsidRDefault="006158FF" w:rsidP="006158FF">
      <w:pPr>
        <w:jc w:val="center"/>
        <w:rPr>
          <w:b/>
          <w:bCs/>
        </w:rPr>
      </w:pPr>
      <w:r>
        <w:rPr>
          <w:b/>
          <w:bCs/>
        </w:rPr>
        <w:t>C- Quel environnement francophone pour le français au Liban?</w:t>
      </w:r>
    </w:p>
    <w:p w:rsidR="006158FF" w:rsidRDefault="006158FF" w:rsidP="006158FF">
      <w:pPr>
        <w:spacing w:before="240" w:after="240"/>
        <w:jc w:val="both"/>
        <w:rPr>
          <w:rFonts w:eastAsia="MS Mincho"/>
        </w:rPr>
      </w:pPr>
      <w:r>
        <w:rPr>
          <w:rFonts w:eastAsia="MS Mincho"/>
        </w:rPr>
        <w:t xml:space="preserve">Les formes que peut prendre cet environnement francophone relèvent essentiellement des médias (radio, télévision…), du secteur culturel et de l’économie (entreprises, emploi) où on relève de nombreuses lacunes : </w:t>
      </w:r>
    </w:p>
    <w:p w:rsidR="006158FF" w:rsidRDefault="006158FF" w:rsidP="006158FF">
      <w:pPr>
        <w:spacing w:before="240" w:after="240"/>
        <w:jc w:val="both"/>
        <w:rPr>
          <w:rFonts w:eastAsia="MS Mincho"/>
        </w:rPr>
      </w:pPr>
      <w:r>
        <w:rPr>
          <w:rFonts w:eastAsia="MS Mincho"/>
        </w:rPr>
        <w:t xml:space="preserve">- Le manque de programmes de télévision francophone : chacun sait que la télévision est un moyen privilégié pour la diffusion d’une langue. Malheureusement les chaines privées libanaises boudent les fictions et séries françaises. TV5 qui couvre surtout le grand-Beyrouth via la chaîne publique, n’a pas la cote auprès des enfants et des jeunes. Dans son ouvrage, </w:t>
      </w:r>
      <w:r>
        <w:rPr>
          <w:rFonts w:eastAsia="MS Mincho"/>
          <w:i/>
          <w:iCs/>
        </w:rPr>
        <w:t xml:space="preserve">Mondialisation : la langue française a-t-elle encore un avenir ? </w:t>
      </w:r>
      <w:r>
        <w:rPr>
          <w:rFonts w:eastAsia="MS Mincho"/>
        </w:rPr>
        <w:t>R.Chaudenson</w:t>
      </w:r>
      <w:r>
        <w:rPr>
          <w:rFonts w:eastAsia="MS Mincho"/>
          <w:vertAlign w:val="superscript"/>
        </w:rPr>
        <w:footnoteReference w:id="19"/>
      </w:r>
      <w:r>
        <w:rPr>
          <w:rFonts w:eastAsia="MS Mincho"/>
        </w:rPr>
        <w:t xml:space="preserve"> constate avec raison qu’on n’initie pas un enfant de 5 ans à la langue française en lui faisant regarder la « Marche du siècle » ou « Bouillon de culture » ou en lui faisant intégrer, à la suite, quatre journaux télévisés francophones. </w:t>
      </w:r>
    </w:p>
    <w:p w:rsidR="006158FF" w:rsidRDefault="006158FF" w:rsidP="006158FF">
      <w:pPr>
        <w:spacing w:before="240" w:after="240"/>
        <w:jc w:val="both"/>
        <w:rPr>
          <w:rFonts w:eastAsia="MS Mincho"/>
        </w:rPr>
      </w:pPr>
      <w:r>
        <w:rPr>
          <w:rFonts w:eastAsia="MS Mincho"/>
        </w:rPr>
        <w:t xml:space="preserve">- L’inaccessibilité des activités culturelles francophones : les élèves qui suivent une scolarisation en français, ont rarement la possibilité de rêver, se découvrir, se divertir en français à travers des spectacles, des jeux, des échanges extrascolaires. Les manifestations culturelles francophones s’adressent dans la plupart des cas à un public adulte « cultivé ». Si par chance, les adolescents qui sont formés dans des écoles privées assistent à des représentations théâtrales organisées en exclusivité par la MCF, ils sont déçus de ne rien comprendre au théâtre classique, celui de Molière, Corneille... tant au niveau linguistique que culturel. Le jour où ils auront envie d’assister à un concert d’une célébrité francophone en tournée au Liban, le prix des places sera dissuasif. Pour ces jeunes, le français est toujours vu comme une langue inutile réservée à l’élite sociale. </w:t>
      </w:r>
    </w:p>
    <w:p w:rsidR="006158FF" w:rsidRDefault="006158FF" w:rsidP="006158FF">
      <w:pPr>
        <w:jc w:val="both"/>
        <w:rPr>
          <w:rFonts w:eastAsia="MS Mincho"/>
        </w:rPr>
      </w:pPr>
      <w:r>
        <w:rPr>
          <w:rFonts w:eastAsia="MS Mincho"/>
        </w:rPr>
        <w:t>- L’exclusion du français dans le secteur économique : les jeunes actifs se rendent compte que le français qu’ils maitrisent à peine ne leur assurera aucune promotion sociale et professionnelle. L’anglais est la clé de la réussite dans un pays qui se tourne vers les pays pétroliers du Golfe arabique. Le « laisser-aller linguistique » des entreprises françaises implantées au Liban complique encore les choses. La connaissance du français est recommandée et non pas imposée pour décrocher un poste notamment au BHV, chez AXA…</w:t>
      </w:r>
    </w:p>
    <w:p w:rsidR="006158FF" w:rsidRDefault="006158FF" w:rsidP="006158FF">
      <w:pPr>
        <w:jc w:val="both"/>
        <w:rPr>
          <w:rFonts w:eastAsia="MS Mincho"/>
        </w:rPr>
      </w:pPr>
      <w:r>
        <w:rPr>
          <w:rFonts w:eastAsia="MS Mincho"/>
        </w:rPr>
        <w:t xml:space="preserve"> Compte tenu de ces réalités, voici quelques suggestions visant à développer l’environnement francophone au Liban. La première concerne la création d’une chaine de télévision francophone. Ce projet qui dort dans les tiroirs depuis environ dix ans, doit voir le jour le plus vite possible. Ce sera à la fois une incitation pour que les étudiants perfectionnent le français et un débouché professionnel, pour ceux qui se forment dans le domaine de l’audiovisuel.</w:t>
      </w:r>
    </w:p>
    <w:p w:rsidR="006158FF" w:rsidRDefault="006158FF" w:rsidP="006158FF">
      <w:pPr>
        <w:jc w:val="both"/>
        <w:rPr>
          <w:rFonts w:eastAsia="MS Mincho"/>
        </w:rPr>
      </w:pPr>
      <w:r>
        <w:rPr>
          <w:rFonts w:eastAsia="MS Mincho"/>
        </w:rPr>
        <w:t xml:space="preserve">   La télévision numérique devrait permettre de multiplier les chaines thématiques susceptibles de s’adresser à des publics diversifiés. Ainsi, on pourrait prévoir la création de chaînes de partage, de métissage culturel et linguistique arabe/ français à l’image d’Arte. De même, il serait particulièrement utile d’avoir une chaîne dédiée à l’apprentissage ludique du français pour les jeunes enfants. </w:t>
      </w:r>
    </w:p>
    <w:p w:rsidR="006158FF" w:rsidRDefault="006158FF" w:rsidP="006158FF">
      <w:pPr>
        <w:jc w:val="both"/>
      </w:pPr>
      <w:r>
        <w:t xml:space="preserve">    Il faudrait aussi renforcer l’aménagement médiatique de l’espace scolaire, par le développement des « espaces langues », par la promotion et la diffusion de programmes appropriés sélectionnés dans les chaînes éducatives et dans les autres chaînes publiques. </w:t>
      </w:r>
    </w:p>
    <w:p w:rsidR="006158FF" w:rsidRDefault="006158FF" w:rsidP="006158FF">
      <w:pPr>
        <w:jc w:val="both"/>
      </w:pPr>
    </w:p>
    <w:p w:rsidR="006158FF" w:rsidRDefault="006158FF" w:rsidP="006158FF">
      <w:pPr>
        <w:jc w:val="both"/>
      </w:pPr>
      <w:r>
        <w:t xml:space="preserve">     </w:t>
      </w:r>
    </w:p>
    <w:p w:rsidR="006158FF" w:rsidRDefault="006158FF" w:rsidP="006158FF">
      <w:pPr>
        <w:jc w:val="both"/>
      </w:pPr>
    </w:p>
    <w:p w:rsidR="006158FF" w:rsidRDefault="006158FF" w:rsidP="006158FF">
      <w:pPr>
        <w:jc w:val="both"/>
      </w:pPr>
      <w:r>
        <w:t xml:space="preserve">En ce qui concerne les activités culturelles et artistiques, les institutions culturelles francophones gagneront à encourager les initiatives prises par de jeunes talents libanais pour présenter des </w:t>
      </w:r>
      <w:r>
        <w:lastRenderedPageBreak/>
        <w:t xml:space="preserve">réalisations francophones ou franco-arabes comme par exemple, la semaine du conte, les spectacles de marionnettes, le théâtre pour enfants, etc. En effet, un élève gardera plus facilement en mémoire, les répliques de personnages qui l’ont fait rire plutôt que la leçon de grammaire. </w:t>
      </w:r>
    </w:p>
    <w:p w:rsidR="006158FF" w:rsidRDefault="006158FF" w:rsidP="006158FF">
      <w:pPr>
        <w:jc w:val="both"/>
      </w:pPr>
      <w:r>
        <w:t xml:space="preserve">Le raisonnement vaut pour les adolescents et même les adultes d’autant que le Liban présente cette particularité que le français est apprécié, valorisé dans toutes les communautés confessionnelles. </w:t>
      </w:r>
    </w:p>
    <w:p w:rsidR="006158FF" w:rsidRDefault="006158FF" w:rsidP="006158FF">
      <w:pPr>
        <w:spacing w:before="240" w:after="240"/>
        <w:jc w:val="both"/>
      </w:pPr>
      <w:r>
        <w:t xml:space="preserve">    Dans le contexte actuel de mondialisation, le secteur vital pour assurer un véritable enracinement de la francophonie au Liban passe par l’économie notamment dans le domaine de l’emploi. Pour ce faire, il conviendrait de s’engager à promouvoir et renforcer le partenariat économique avec les pays francophones du sud et du nord  sous forme d’échanges d’information, de mission, d’organisation de séminaires, de foires et expositions. Cet échange gagnerait plus d’intérêt s’il était accompagné d’un investissement d’entreprises francophones. A ce titre, la coopération entre la chambre de commerce et d’industrie de Paris et la chambre de commerce de Beyrouth est un bon exemple. </w:t>
      </w:r>
    </w:p>
    <w:p w:rsidR="006158FF" w:rsidRDefault="006158FF" w:rsidP="006158FF">
      <w:pPr>
        <w:autoSpaceDE w:val="0"/>
        <w:jc w:val="both"/>
      </w:pPr>
      <w:r>
        <w:t xml:space="preserve">    Toutes les sociétés françaises implantées au Liban et les sociétés libanaises travaillant avec des sociétés ou des pays francophones devraient adopter le français comme langue de communication interne et externe au sein l’entreprise laquelle veillerait à l’environnement francophone sur les lieux de travail : tout doit être fait pour que le français représente un gage supplémentaire d’emploi, de promotion, de réussite sociale. Une activité économique, industrielle et commerciale utilisant résolument le français permet de soutenir la francophonie, de lui donner une réalité, une force dans la vie quotidienne des travailleurs, des producteurs, des consommateurs libanais. </w:t>
      </w:r>
    </w:p>
    <w:p w:rsidR="006158FF" w:rsidRDefault="006158FF" w:rsidP="006158FF">
      <w:pPr>
        <w:autoSpaceDE w:val="0"/>
      </w:pPr>
    </w:p>
    <w:p w:rsidR="006158FF" w:rsidRDefault="006158FF" w:rsidP="006158FF">
      <w:pPr>
        <w:autoSpaceDE w:val="0"/>
        <w:jc w:val="both"/>
      </w:pPr>
      <w:r>
        <w:t xml:space="preserve">     La volonté de faire du français une langue de travail impliquerait l’embauche d’employés possédant une bonne connaissance de cette langue. Quant au personnel ne parlant pas cette langue, ils seraient amenés à suivre des cours de français que les entreprises organiseraient avec la collaboration des bureaux de langues des universités et avec le soutien de la mission culturelle française. </w:t>
      </w:r>
    </w:p>
    <w:p w:rsidR="006158FF" w:rsidRDefault="006158FF" w:rsidP="006158FF">
      <w:pPr>
        <w:autoSpaceDE w:val="0"/>
        <w:jc w:val="both"/>
      </w:pPr>
    </w:p>
    <w:p w:rsidR="006158FF" w:rsidRDefault="006158FF" w:rsidP="006158FF">
      <w:pPr>
        <w:autoSpaceDE w:val="0"/>
        <w:jc w:val="both"/>
      </w:pPr>
      <w:r>
        <w:t xml:space="preserve">  Enfin, l’emploi francophone ne pourrait se développer sans établir une dynamique de rapprochement entre le monde éducatif et celui de l’entreprise par le biais de cursus et de stages. Des professionnels pourraient accorder de leur temps pour mettre à disposition leur expertise sous formes d’animations régulières ou ponctuelles de cours. Des étudiants suivraient des stages professionnels qui faciliteraient leur embauche ultérieure. </w:t>
      </w:r>
    </w:p>
    <w:p w:rsidR="006158FF" w:rsidRDefault="006158FF" w:rsidP="006158FF">
      <w:pPr>
        <w:spacing w:before="240" w:after="240"/>
        <w:rPr>
          <w:rFonts w:eastAsia="MS Mincho"/>
          <w:b/>
          <w:bCs/>
        </w:rPr>
      </w:pPr>
      <w:r>
        <w:rPr>
          <w:rFonts w:eastAsia="MS Mincho"/>
          <w:b/>
          <w:bCs/>
        </w:rPr>
        <w:t>Conclusion</w:t>
      </w:r>
    </w:p>
    <w:p w:rsidR="006158FF" w:rsidRDefault="006158FF" w:rsidP="006158FF">
      <w:pPr>
        <w:jc w:val="both"/>
      </w:pPr>
      <w:r>
        <w:t xml:space="preserve">    Le bref état des lieux de l’environnement francophone au Liban, pour fastidieux qu’il fût, nous a permis de constater que la francophonie n’est pas au bord de la faillite comme certains le prétendent. L’attachement des parents à scolariser leurs enfants en français mais aussi l’expansion de la presse écrite francophone témoignent de la vitalité de cette langue au Liban même si elle affiche un déficit dans les secteurs audiovisuel et économique. </w:t>
      </w:r>
    </w:p>
    <w:p w:rsidR="006158FF" w:rsidRDefault="006158FF" w:rsidP="006158FF">
      <w:pPr>
        <w:jc w:val="both"/>
      </w:pPr>
    </w:p>
    <w:p w:rsidR="006158FF" w:rsidRDefault="006158FF" w:rsidP="006158FF">
      <w:pPr>
        <w:jc w:val="both"/>
      </w:pPr>
      <w:r>
        <w:t xml:space="preserve">    Les jeunes  auxquels on reproche l’abandon du français au profit de l’anglais, continuent à valoriser le « mythe de la francophonie » à leur façon. En fait, le choix de telle ou telle langue dépend du centre d’intérêt de l’usager et de la qualité du produit à consommer. Un jeune lira un article français, regardera un film américain, écoutera une chanson libanaise et inversement. </w:t>
      </w:r>
    </w:p>
    <w:p w:rsidR="006158FF" w:rsidRDefault="006158FF" w:rsidP="006158FF">
      <w:pPr>
        <w:jc w:val="both"/>
      </w:pPr>
    </w:p>
    <w:p w:rsidR="006158FF" w:rsidRDefault="006158FF" w:rsidP="006158FF">
      <w:pPr>
        <w:jc w:val="both"/>
      </w:pPr>
      <w:r>
        <w:t xml:space="preserve">      En ce qui concerne l’impact de la langue d’enseignement sur les pratiques linguistiques, plus le français jouit d’un statut privilégié au sein de l’université ou de la faculté, plus les étudiants se livrent à des activités académiques en français. Cela dit, quel que soit le type d’université fréquentée, la majorité des sondés déclarent faire de l’arabe dialectal la première langue de communication dans le cercle familier et intime. Ils sont par ailleurs nombreux à penser que la connaissance de l’anglais est indispensable pour accéder au marché de travail, celle du français est un atout, un plus, une valeur </w:t>
      </w:r>
      <w:r>
        <w:lastRenderedPageBreak/>
        <w:t xml:space="preserve">ajoutée à ne pas négliger. </w:t>
      </w:r>
    </w:p>
    <w:p w:rsidR="006158FF" w:rsidRDefault="006158FF" w:rsidP="006158FF">
      <w:pPr>
        <w:jc w:val="both"/>
      </w:pPr>
    </w:p>
    <w:p w:rsidR="006158FF" w:rsidRDefault="006158FF" w:rsidP="006158FF">
      <w:pPr>
        <w:jc w:val="both"/>
      </w:pPr>
      <w:r>
        <w:t xml:space="preserve">L’Etat libanais ne s’y est pas trompé lorsqu’il a introduit une seconde langue étrangère obligatoire au cursus scolaire. Par cette mesure, il officialise le trilinguisme et par la même conforte la place du français. Désormais, tous les élèves devront apprendre le français à côté de l’arabe et de l’anglais. Mais, une telle mesure ambitieuse ne portera ses fruits que si le ministère de l’éducation nationale procèdera, par le biais du CRDP au remaniement des programmes et manuels scolaires de français et de d’anglais qui en dépit de leur réforme dans les années quatre-vingt-dix, peinent à correspondre aux réalités sociolinguistiques du pays.  </w:t>
      </w:r>
    </w:p>
    <w:p w:rsidR="006158FF" w:rsidRDefault="006158FF" w:rsidP="006158FF">
      <w:pPr>
        <w:rPr>
          <w:b/>
          <w:bCs/>
        </w:rPr>
      </w:pPr>
    </w:p>
    <w:p w:rsidR="006158FF" w:rsidRDefault="006158FF" w:rsidP="006158FF">
      <w:pPr>
        <w:jc w:val="both"/>
      </w:pPr>
      <w:r>
        <w:t xml:space="preserve">De plus, l’Etat libanais doit s’associer aux instances francophones pour développer un environnement médiatique et économique au Liban. En effet, sans renier les valeurs humaines que véhicule la francophonie, il importe d’associer à son apprentissage l’image de langue utile, moderne et efficace. </w:t>
      </w:r>
    </w:p>
    <w:p w:rsidR="006158FF" w:rsidRDefault="006158FF" w:rsidP="006158FF">
      <w:pPr>
        <w:jc w:val="center"/>
      </w:pPr>
    </w:p>
    <w:p w:rsidR="006158FF" w:rsidRDefault="006158FF" w:rsidP="006158FF">
      <w:pPr>
        <w:jc w:val="center"/>
      </w:pPr>
    </w:p>
    <w:p w:rsidR="006158FF" w:rsidRDefault="006158FF" w:rsidP="006158FF">
      <w:pPr>
        <w:jc w:val="center"/>
      </w:pPr>
    </w:p>
    <w:p w:rsidR="006158FF" w:rsidRDefault="006158FF" w:rsidP="006158FF">
      <w:pPr>
        <w:jc w:val="center"/>
      </w:pPr>
    </w:p>
    <w:p w:rsidR="006158FF" w:rsidRDefault="006158FF" w:rsidP="006158FF">
      <w:pPr>
        <w:rPr>
          <w:b/>
          <w:bCs/>
        </w:rPr>
      </w:pPr>
    </w:p>
    <w:p w:rsidR="006158FF" w:rsidRDefault="006158FF" w:rsidP="006158FF">
      <w:pPr>
        <w:jc w:val="right"/>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rPr>
          <w:b/>
          <w:bCs/>
        </w:rPr>
      </w:pPr>
    </w:p>
    <w:p w:rsidR="006158FF" w:rsidRDefault="006158FF" w:rsidP="006158FF">
      <w:pPr>
        <w:jc w:val="center"/>
        <w:rPr>
          <w:b/>
          <w:bCs/>
        </w:rPr>
      </w:pPr>
      <w:r>
        <w:rPr>
          <w:b/>
          <w:bCs/>
        </w:rPr>
        <w:t>Eléments de bibliographie</w:t>
      </w:r>
    </w:p>
    <w:p w:rsidR="006158FF" w:rsidRDefault="006158FF" w:rsidP="006158FF">
      <w:pPr>
        <w:jc w:val="both"/>
      </w:pPr>
    </w:p>
    <w:p w:rsidR="006158FF" w:rsidRDefault="006158FF" w:rsidP="006158FF">
      <w:pPr>
        <w:jc w:val="both"/>
      </w:pPr>
      <w:r>
        <w:t xml:space="preserve">- Calvet, L.J. (1999), </w:t>
      </w:r>
      <w:r>
        <w:rPr>
          <w:i/>
          <w:iCs/>
        </w:rPr>
        <w:t>Pour une écologie des langues du monde</w:t>
      </w:r>
      <w:r>
        <w:t xml:space="preserve">, Paris, Plon. </w:t>
      </w:r>
    </w:p>
    <w:p w:rsidR="006158FF" w:rsidRDefault="006158FF" w:rsidP="006158FF">
      <w:pPr>
        <w:jc w:val="both"/>
      </w:pPr>
    </w:p>
    <w:p w:rsidR="006158FF" w:rsidRDefault="006158FF" w:rsidP="006158FF">
      <w:pPr>
        <w:jc w:val="both"/>
        <w:rPr>
          <w:spacing w:val="4"/>
        </w:rPr>
      </w:pPr>
      <w:r>
        <w:rPr>
          <w:spacing w:val="4"/>
        </w:rPr>
        <w:t xml:space="preserve">- Chaudenson, R.et Rakotomala, D. (2004), </w:t>
      </w:r>
      <w:r>
        <w:rPr>
          <w:i/>
          <w:iCs/>
          <w:spacing w:val="4"/>
        </w:rPr>
        <w:t>Situations linguistiques de la francophonie</w:t>
      </w:r>
      <w:r>
        <w:rPr>
          <w:spacing w:val="4"/>
        </w:rPr>
        <w:t xml:space="preserve">, Réseau observatoire du français et des langues nationales, AUF, pp. 155-157. </w:t>
      </w:r>
    </w:p>
    <w:p w:rsidR="006158FF" w:rsidRDefault="006158FF" w:rsidP="006158FF">
      <w:pPr>
        <w:jc w:val="both"/>
      </w:pPr>
    </w:p>
    <w:p w:rsidR="006158FF" w:rsidRDefault="006158FF" w:rsidP="006158FF">
      <w:pPr>
        <w:jc w:val="both"/>
      </w:pPr>
      <w:r>
        <w:t xml:space="preserve">- Castellotti, V. (2001), « Pour une perspective plurilingue sur l’apprentissage et l’enseignement des langues », in </w:t>
      </w:r>
      <w:r>
        <w:rPr>
          <w:i/>
          <w:iCs/>
        </w:rPr>
        <w:t>D’une langue à d’autres : Pratiques et représentations,</w:t>
      </w:r>
      <w:r>
        <w:t xml:space="preserve"> Publications de l’Université de Rouen.</w:t>
      </w:r>
    </w:p>
    <w:p w:rsidR="006158FF" w:rsidRDefault="006158FF" w:rsidP="006158FF">
      <w:pPr>
        <w:jc w:val="both"/>
      </w:pPr>
    </w:p>
    <w:p w:rsidR="006158FF" w:rsidRDefault="006158FF" w:rsidP="006158FF">
      <w:pPr>
        <w:jc w:val="both"/>
        <w:rPr>
          <w:spacing w:val="4"/>
        </w:rPr>
      </w:pPr>
      <w:r>
        <w:rPr>
          <w:spacing w:val="4"/>
        </w:rPr>
        <w:t xml:space="preserve">- Hafez, S.A (2006) </w:t>
      </w:r>
      <w:r>
        <w:rPr>
          <w:i/>
          <w:iCs/>
          <w:spacing w:val="4"/>
        </w:rPr>
        <w:t>Statuts, emplois, rôles, fonctions et représentations du français au Liban</w:t>
      </w:r>
      <w:r>
        <w:rPr>
          <w:spacing w:val="4"/>
        </w:rPr>
        <w:t>, L’Harmattan.</w:t>
      </w:r>
    </w:p>
    <w:p w:rsidR="006158FF" w:rsidRDefault="006158FF" w:rsidP="006158FF">
      <w:pPr>
        <w:jc w:val="both"/>
      </w:pPr>
    </w:p>
    <w:p w:rsidR="006158FF" w:rsidRDefault="006158FF" w:rsidP="006158FF">
      <w:pPr>
        <w:jc w:val="both"/>
      </w:pPr>
      <w:r>
        <w:t xml:space="preserve">- Martin, O (Dir.) François Singly (2005), </w:t>
      </w:r>
      <w:r>
        <w:rPr>
          <w:i/>
          <w:iCs/>
        </w:rPr>
        <w:t>L’enquête et ses méthodes, L’analyse de données quantitatives</w:t>
      </w:r>
      <w:r>
        <w:t xml:space="preserve">, Armand Clin.  </w:t>
      </w:r>
    </w:p>
    <w:p w:rsidR="006158FF" w:rsidRDefault="006158FF" w:rsidP="006158FF">
      <w:pPr>
        <w:jc w:val="both"/>
        <w:rPr>
          <w:spacing w:val="4"/>
        </w:rPr>
      </w:pPr>
    </w:p>
    <w:p w:rsidR="006158FF" w:rsidRDefault="006158FF" w:rsidP="006158FF">
      <w:pPr>
        <w:jc w:val="both"/>
        <w:rPr>
          <w:spacing w:val="4"/>
        </w:rPr>
      </w:pPr>
      <w:r>
        <w:t>- Matthey, M et Moore, D.</w:t>
      </w:r>
      <w:r>
        <w:rPr>
          <w:i/>
          <w:iCs/>
        </w:rPr>
        <w:t xml:space="preserve"> </w:t>
      </w:r>
      <w:r>
        <w:t>(1997) :</w:t>
      </w:r>
      <w:r>
        <w:rPr>
          <w:i/>
          <w:iCs/>
        </w:rPr>
        <w:t xml:space="preserve"> Contacts de langues et représentations, TRANEL 27, Institut de Linguistique</w:t>
      </w:r>
      <w:r>
        <w:rPr>
          <w:spacing w:val="4"/>
        </w:rPr>
        <w:t xml:space="preserve">, Université de Neuchâtel. </w:t>
      </w:r>
    </w:p>
    <w:p w:rsidR="006158FF" w:rsidRDefault="006158FF" w:rsidP="006158FF">
      <w:pPr>
        <w:jc w:val="both"/>
        <w:rPr>
          <w:i/>
          <w:iCs/>
        </w:rPr>
      </w:pPr>
    </w:p>
    <w:p w:rsidR="006158FF" w:rsidRDefault="006158FF" w:rsidP="006158FF">
      <w:pPr>
        <w:jc w:val="both"/>
      </w:pPr>
      <w:r>
        <w:t>Moore, D,</w:t>
      </w:r>
      <w:r>
        <w:rPr>
          <w:i/>
          <w:iCs/>
        </w:rPr>
        <w:t xml:space="preserve"> </w:t>
      </w:r>
      <w:r>
        <w:t>Coordination</w:t>
      </w:r>
      <w:r>
        <w:rPr>
          <w:i/>
          <w:iCs/>
        </w:rPr>
        <w:t xml:space="preserve"> </w:t>
      </w:r>
      <w:r>
        <w:t>(2007),</w:t>
      </w:r>
      <w:r>
        <w:rPr>
          <w:i/>
          <w:iCs/>
        </w:rPr>
        <w:t xml:space="preserve"> Les représentations des langues et de leur apprentissage, Références, modèles, données et méthodes, Collection CREDIF, Essais, </w:t>
      </w:r>
      <w:r>
        <w:t xml:space="preserve">Didier. </w:t>
      </w:r>
    </w:p>
    <w:p w:rsidR="006158FF" w:rsidRDefault="006158FF" w:rsidP="006158FF">
      <w:pPr>
        <w:jc w:val="both"/>
      </w:pPr>
    </w:p>
    <w:p w:rsidR="006158FF" w:rsidRDefault="006158FF" w:rsidP="006158FF">
      <w:pPr>
        <w:jc w:val="both"/>
        <w:rPr>
          <w:spacing w:val="4"/>
        </w:rPr>
      </w:pPr>
      <w:r>
        <w:rPr>
          <w:spacing w:val="4"/>
        </w:rPr>
        <w:t xml:space="preserve"> - Rakotomala, D. (2005), </w:t>
      </w:r>
      <w:r>
        <w:rPr>
          <w:i/>
          <w:iCs/>
          <w:spacing w:val="4"/>
        </w:rPr>
        <w:t xml:space="preserve">Le partenariat des langues dans l’espace francophone : description, analyse, gestion, </w:t>
      </w:r>
      <w:r>
        <w:rPr>
          <w:spacing w:val="4"/>
        </w:rPr>
        <w:t>Institut de la francophonie, L’Harmattan, pp. 132- 138.</w:t>
      </w:r>
    </w:p>
    <w:p w:rsidR="006158FF" w:rsidRDefault="006158FF" w:rsidP="006158FF">
      <w:pPr>
        <w:jc w:val="both"/>
        <w:rPr>
          <w:spacing w:val="4"/>
        </w:rPr>
      </w:pPr>
    </w:p>
    <w:p w:rsidR="006158FF" w:rsidRDefault="006158FF" w:rsidP="006158FF">
      <w:pPr>
        <w:jc w:val="both"/>
      </w:pPr>
      <w:r>
        <w:t xml:space="preserve"> </w:t>
      </w:r>
    </w:p>
    <w:p w:rsidR="006158FF" w:rsidRDefault="006158FF" w:rsidP="006158FF">
      <w:pPr>
        <w:jc w:val="both"/>
      </w:pPr>
    </w:p>
    <w:p w:rsidR="008D7E9E" w:rsidRDefault="008D7E9E"/>
    <w:sectPr w:rsidR="008D7E9E" w:rsidSect="00F0458B">
      <w:headerReference w:type="default" r:id="rId7"/>
      <w:footerReference w:type="default" r:id="rId8"/>
      <w:pgSz w:w="11905" w:h="16837"/>
      <w:pgMar w:top="963" w:right="1020" w:bottom="963" w:left="1020" w:header="720" w:footer="70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050" w:rsidRDefault="00AE0050" w:rsidP="006158FF">
      <w:r>
        <w:separator/>
      </w:r>
    </w:p>
  </w:endnote>
  <w:endnote w:type="continuationSeparator" w:id="0">
    <w:p w:rsidR="00AE0050" w:rsidRDefault="00AE0050" w:rsidP="006158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8B" w:rsidRDefault="00F0458B">
    <w:pPr>
      <w:tabs>
        <w:tab w:val="center" w:pos="4512"/>
        <w:tab w:val="right" w:pos="9025"/>
      </w:tabs>
      <w:jc w:val="center"/>
      <w:rPr>
        <w:kern w:val="0"/>
      </w:rPr>
    </w:pPr>
    <w:r>
      <w:rPr>
        <w:kern w:val="0"/>
      </w:rPr>
      <w:pgNum/>
    </w:r>
  </w:p>
  <w:p w:rsidR="00F0458B" w:rsidRDefault="00F0458B">
    <w:pPr>
      <w:tabs>
        <w:tab w:val="center" w:pos="4512"/>
        <w:tab w:val="right" w:pos="9025"/>
      </w:tabs>
      <w:rPr>
        <w:kern w:val="0"/>
      </w:rPr>
    </w:pPr>
  </w:p>
  <w:p w:rsidR="00F0458B" w:rsidRDefault="00F0458B">
    <w:pPr>
      <w:tabs>
        <w:tab w:val="center" w:pos="4512"/>
        <w:tab w:val="right" w:pos="9025"/>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050" w:rsidRDefault="00AE0050" w:rsidP="006158FF">
      <w:r>
        <w:separator/>
      </w:r>
    </w:p>
  </w:footnote>
  <w:footnote w:type="continuationSeparator" w:id="0">
    <w:p w:rsidR="00AE0050" w:rsidRDefault="00AE0050" w:rsidP="006158FF">
      <w:r>
        <w:continuationSeparator/>
      </w:r>
    </w:p>
  </w:footnote>
  <w:footnote w:id="1">
    <w:p w:rsidR="006158FF" w:rsidRPr="0017029D" w:rsidRDefault="006158FF" w:rsidP="006158FF">
      <w:pPr>
        <w:jc w:val="both"/>
        <w:rPr>
          <w:kern w:val="0"/>
          <w:sz w:val="20"/>
          <w:szCs w:val="20"/>
        </w:rPr>
      </w:pPr>
      <w:r>
        <w:rPr>
          <w:kern w:val="0"/>
          <w:vertAlign w:val="superscript"/>
        </w:rPr>
        <w:footnoteRef/>
      </w:r>
      <w:r>
        <w:rPr>
          <w:kern w:val="0"/>
        </w:rPr>
        <w:t xml:space="preserve"> </w:t>
      </w:r>
      <w:r>
        <w:rPr>
          <w:spacing w:val="4"/>
          <w:kern w:val="0"/>
          <w:sz w:val="20"/>
          <w:szCs w:val="20"/>
        </w:rPr>
        <w:t xml:space="preserve"> </w:t>
      </w:r>
      <w:r w:rsidRPr="0017029D">
        <w:rPr>
          <w:spacing w:val="4"/>
          <w:kern w:val="0"/>
          <w:sz w:val="20"/>
          <w:szCs w:val="20"/>
        </w:rPr>
        <w:t>La constitution stipule : « L’arabe est la langue nationale officielle. Une loi déterminera les cas où il sera fait usage de la langue française ». Selon</w:t>
      </w:r>
      <w:r w:rsidRPr="0017029D">
        <w:rPr>
          <w:kern w:val="0"/>
          <w:sz w:val="20"/>
          <w:szCs w:val="20"/>
        </w:rPr>
        <w:t xml:space="preserve"> J.P.Cuq, Le Liban fait partie des Etats qui n’ont pas jugé opportun de préciser les cadres dans lesquels évolue la réalité linguistique. J.P.Cuq, (1991), </w:t>
      </w:r>
      <w:r w:rsidRPr="0017029D">
        <w:rPr>
          <w:i/>
          <w:iCs/>
          <w:kern w:val="0"/>
          <w:sz w:val="20"/>
          <w:szCs w:val="20"/>
        </w:rPr>
        <w:t>Le français langue seconde</w:t>
      </w:r>
      <w:r w:rsidRPr="0017029D">
        <w:rPr>
          <w:kern w:val="0"/>
          <w:sz w:val="20"/>
          <w:szCs w:val="20"/>
        </w:rPr>
        <w:t>, origines d’une notion et implications didactiques, p.123Hachette, Paris.</w:t>
      </w:r>
    </w:p>
  </w:footnote>
  <w:footnote w:id="2">
    <w:p w:rsidR="006158FF" w:rsidRDefault="006158FF" w:rsidP="006158FF">
      <w:pPr>
        <w:jc w:val="both"/>
        <w:rPr>
          <w:kern w:val="0"/>
        </w:rPr>
      </w:pPr>
      <w:r w:rsidRPr="0017029D">
        <w:rPr>
          <w:kern w:val="0"/>
          <w:sz w:val="20"/>
          <w:szCs w:val="20"/>
          <w:vertAlign w:val="superscript"/>
        </w:rPr>
        <w:footnoteRef/>
      </w:r>
      <w:r w:rsidRPr="0017029D">
        <w:rPr>
          <w:kern w:val="0"/>
          <w:sz w:val="20"/>
          <w:szCs w:val="20"/>
        </w:rPr>
        <w:t xml:space="preserve"> Source : Centre de recherche et de développement pédagogiques (CRDP),</w:t>
      </w:r>
      <w:r>
        <w:rPr>
          <w:kern w:val="0"/>
          <w:sz w:val="18"/>
          <w:szCs w:val="18"/>
        </w:rPr>
        <w:t xml:space="preserve">  2006.  </w:t>
      </w:r>
    </w:p>
  </w:footnote>
  <w:footnote w:id="3">
    <w:p w:rsidR="006158FF" w:rsidRDefault="006158FF" w:rsidP="006158FF">
      <w:pPr>
        <w:jc w:val="both"/>
        <w:rPr>
          <w:kern w:val="0"/>
          <w:sz w:val="18"/>
          <w:szCs w:val="18"/>
        </w:rPr>
      </w:pPr>
      <w:r>
        <w:rPr>
          <w:kern w:val="0"/>
          <w:vertAlign w:val="superscript"/>
        </w:rPr>
        <w:footnoteRef/>
      </w:r>
      <w:r>
        <w:rPr>
          <w:kern w:val="0"/>
          <w:sz w:val="18"/>
          <w:szCs w:val="18"/>
        </w:rPr>
        <w:t xml:space="preserve"> </w:t>
      </w:r>
      <w:r>
        <w:rPr>
          <w:spacing w:val="4"/>
          <w:kern w:val="0"/>
          <w:sz w:val="18"/>
          <w:szCs w:val="18"/>
        </w:rPr>
        <w:t xml:space="preserve">R.Chaudenson et D.Rakotomala, (2004), </w:t>
      </w:r>
      <w:r>
        <w:rPr>
          <w:i/>
          <w:iCs/>
          <w:spacing w:val="4"/>
          <w:kern w:val="0"/>
          <w:sz w:val="18"/>
          <w:szCs w:val="18"/>
        </w:rPr>
        <w:t>Situations linguistiques de la francophonie</w:t>
      </w:r>
      <w:r>
        <w:rPr>
          <w:spacing w:val="4"/>
          <w:kern w:val="0"/>
          <w:sz w:val="18"/>
          <w:szCs w:val="18"/>
        </w:rPr>
        <w:t xml:space="preserve">, Réseau observatoire du français et des langues nationales, AUF, pp. 155-157. </w:t>
      </w:r>
      <w:r>
        <w:rPr>
          <w:kern w:val="0"/>
          <w:sz w:val="18"/>
          <w:szCs w:val="18"/>
        </w:rPr>
        <w:tab/>
      </w:r>
    </w:p>
    <w:p w:rsidR="006158FF" w:rsidRDefault="006158FF" w:rsidP="006158FF">
      <w:pPr>
        <w:jc w:val="both"/>
        <w:rPr>
          <w:kern w:val="0"/>
        </w:rPr>
      </w:pPr>
      <w:r>
        <w:rPr>
          <w:kern w:val="0"/>
          <w:sz w:val="18"/>
          <w:szCs w:val="18"/>
        </w:rPr>
        <w:t xml:space="preserve"> D.Rakotomala, (2005), </w:t>
      </w:r>
      <w:r>
        <w:rPr>
          <w:i/>
          <w:iCs/>
          <w:kern w:val="0"/>
          <w:sz w:val="18"/>
          <w:szCs w:val="18"/>
        </w:rPr>
        <w:t xml:space="preserve">Le partenariat des langues dans l’espace francophone : description, analyse, gestion, </w:t>
      </w:r>
      <w:r>
        <w:rPr>
          <w:kern w:val="0"/>
          <w:sz w:val="18"/>
          <w:szCs w:val="18"/>
        </w:rPr>
        <w:t>Institut de la francophonie, L’Harmattan, pp. 132- 138.</w:t>
      </w:r>
    </w:p>
  </w:footnote>
  <w:footnote w:id="4">
    <w:p w:rsidR="006158FF" w:rsidRDefault="006158FF" w:rsidP="006158FF">
      <w:pPr>
        <w:jc w:val="both"/>
        <w:rPr>
          <w:kern w:val="0"/>
        </w:rPr>
      </w:pPr>
      <w:r>
        <w:rPr>
          <w:kern w:val="0"/>
          <w:vertAlign w:val="superscript"/>
        </w:rPr>
        <w:footnoteRef/>
      </w:r>
      <w:r>
        <w:rPr>
          <w:kern w:val="0"/>
        </w:rPr>
        <w:t xml:space="preserve"> </w:t>
      </w:r>
      <w:r>
        <w:rPr>
          <w:kern w:val="0"/>
          <w:sz w:val="20"/>
          <w:szCs w:val="20"/>
        </w:rPr>
        <w:t xml:space="preserve">Pour réaliser cette rubrique, nous nous sommes fondé sur les enquêtes que nous avons menées principalement au second semestre de 2007. </w:t>
      </w:r>
    </w:p>
  </w:footnote>
  <w:footnote w:id="5">
    <w:p w:rsidR="006158FF" w:rsidRDefault="006158FF" w:rsidP="006158FF">
      <w:pPr>
        <w:jc w:val="both"/>
        <w:rPr>
          <w:kern w:val="0"/>
        </w:rPr>
      </w:pPr>
      <w:r>
        <w:rPr>
          <w:kern w:val="0"/>
          <w:vertAlign w:val="superscript"/>
        </w:rPr>
        <w:footnoteRef/>
      </w:r>
      <w:r>
        <w:rPr>
          <w:kern w:val="0"/>
          <w:sz w:val="20"/>
          <w:szCs w:val="20"/>
        </w:rPr>
        <w:t>Le quota des programmes de télévision en français est faible comme le prouve ce relevé : LBCI : arabe 61%, anglais 35%, français : 4% ; Future Télévision : arabe 50%, anglais  45%,  français 4%, arménien 1% ; Canal neuf (Chaîne publique) : français 100% (elle retransmet en direct les programmes de TV5) ; Télé-Liban (Chaîne publique) : arabe  50%,  anglais,  42%, français,  8%,  NBN : arabe 70 %, anglais 25%, français 5% ; Al Manar - arabe  87%,  anglais  2%, français 1%. New TV/ arabe 68%, anglais, 30%, français 2% ; Télé Lumière : français 45%, arabe 40%, anglais 15%.</w:t>
      </w:r>
    </w:p>
  </w:footnote>
  <w:footnote w:id="6">
    <w:p w:rsidR="006158FF" w:rsidRPr="0017029D" w:rsidRDefault="006158FF" w:rsidP="006158FF">
      <w:pPr>
        <w:jc w:val="both"/>
        <w:rPr>
          <w:kern w:val="0"/>
          <w:sz w:val="20"/>
          <w:szCs w:val="20"/>
        </w:rPr>
      </w:pPr>
      <w:r w:rsidRPr="0017029D">
        <w:rPr>
          <w:kern w:val="0"/>
          <w:sz w:val="20"/>
          <w:szCs w:val="20"/>
          <w:vertAlign w:val="superscript"/>
        </w:rPr>
        <w:footnoteRef/>
      </w:r>
      <w:r w:rsidRPr="0017029D">
        <w:rPr>
          <w:kern w:val="0"/>
          <w:sz w:val="20"/>
          <w:szCs w:val="20"/>
        </w:rPr>
        <w:t xml:space="preserve"> M. Tabet cite les résultats d’une étude de Stat-Ipsos datée de 2004. </w:t>
      </w:r>
      <w:r w:rsidRPr="0017029D">
        <w:rPr>
          <w:kern w:val="0"/>
          <w:sz w:val="20"/>
          <w:szCs w:val="20"/>
        </w:rPr>
        <w:tab/>
      </w:r>
    </w:p>
    <w:p w:rsidR="006158FF" w:rsidRDefault="006158FF" w:rsidP="006158FF">
      <w:pPr>
        <w:jc w:val="both"/>
        <w:rPr>
          <w:kern w:val="0"/>
        </w:rPr>
      </w:pPr>
      <w:r w:rsidRPr="0017029D">
        <w:rPr>
          <w:kern w:val="0"/>
          <w:sz w:val="20"/>
          <w:szCs w:val="20"/>
        </w:rPr>
        <w:t xml:space="preserve">Source : </w:t>
      </w:r>
      <w:hyperlink r:id="rId1" w:history="1">
        <w:r w:rsidRPr="0017029D">
          <w:rPr>
            <w:color w:val="0000FF"/>
            <w:kern w:val="0"/>
            <w:sz w:val="20"/>
            <w:szCs w:val="20"/>
            <w:u w:val="single"/>
          </w:rPr>
          <w:t>http://www.libanvision.com/publicite-beyrouth.htm</w:t>
        </w:r>
      </w:hyperlink>
      <w:r w:rsidRPr="0017029D">
        <w:rPr>
          <w:kern w:val="0"/>
          <w:sz w:val="20"/>
          <w:szCs w:val="20"/>
        </w:rPr>
        <w:t>.</w:t>
      </w:r>
    </w:p>
  </w:footnote>
  <w:footnote w:id="7">
    <w:p w:rsidR="006158FF" w:rsidRDefault="006158FF" w:rsidP="006158FF">
      <w:pPr>
        <w:jc w:val="both"/>
        <w:rPr>
          <w:kern w:val="0"/>
        </w:rPr>
      </w:pPr>
      <w:r>
        <w:rPr>
          <w:kern w:val="0"/>
          <w:vertAlign w:val="superscript"/>
        </w:rPr>
        <w:footnoteRef/>
      </w:r>
      <w:r>
        <w:rPr>
          <w:kern w:val="0"/>
        </w:rPr>
        <w:t xml:space="preserve"> </w:t>
      </w:r>
      <w:r>
        <w:rPr>
          <w:kern w:val="0"/>
          <w:sz w:val="19"/>
          <w:szCs w:val="19"/>
        </w:rPr>
        <w:t xml:space="preserve">Gonzalez-Quijano Y. et Taha M., (2001), </w:t>
      </w:r>
      <w:r>
        <w:rPr>
          <w:i/>
          <w:iCs/>
          <w:kern w:val="0"/>
          <w:sz w:val="19"/>
          <w:szCs w:val="19"/>
        </w:rPr>
        <w:t xml:space="preserve">Internet et l’offre d’information au Liban, Beyrouth, </w:t>
      </w:r>
      <w:r>
        <w:rPr>
          <w:kern w:val="0"/>
          <w:sz w:val="19"/>
          <w:szCs w:val="19"/>
        </w:rPr>
        <w:t>Document du Cermoc, Centre d’Eudes et des Recherches sur le Moyen-Orient Contemporain,  n°11, p.17.</w:t>
      </w:r>
    </w:p>
  </w:footnote>
  <w:footnote w:id="8">
    <w:p w:rsidR="006158FF" w:rsidRDefault="006158FF" w:rsidP="006158FF">
      <w:pPr>
        <w:jc w:val="both"/>
        <w:rPr>
          <w:kern w:val="0"/>
        </w:rPr>
      </w:pPr>
      <w:r>
        <w:rPr>
          <w:kern w:val="0"/>
          <w:vertAlign w:val="superscript"/>
        </w:rPr>
        <w:footnoteRef/>
      </w:r>
      <w:r>
        <w:rPr>
          <w:kern w:val="0"/>
        </w:rPr>
        <w:t xml:space="preserve"> </w:t>
      </w:r>
      <w:r>
        <w:rPr>
          <w:kern w:val="0"/>
          <w:sz w:val="20"/>
          <w:szCs w:val="20"/>
        </w:rPr>
        <w:t>Pour effectuer cette rubrique, nous avons consulté entre autres, le site : www.libanvision.com/francophonieliban.htm</w:t>
      </w:r>
    </w:p>
  </w:footnote>
  <w:footnote w:id="9">
    <w:p w:rsidR="006158FF" w:rsidRDefault="006158FF" w:rsidP="006158FF">
      <w:pPr>
        <w:jc w:val="both"/>
        <w:rPr>
          <w:kern w:val="0"/>
        </w:rPr>
      </w:pPr>
      <w:r>
        <w:rPr>
          <w:kern w:val="0"/>
          <w:vertAlign w:val="superscript"/>
        </w:rPr>
        <w:footnoteRef/>
      </w:r>
      <w:r>
        <w:rPr>
          <w:kern w:val="0"/>
        </w:rPr>
        <w:t xml:space="preserve"> </w:t>
      </w:r>
      <w:r>
        <w:rPr>
          <w:kern w:val="0"/>
          <w:sz w:val="20"/>
          <w:szCs w:val="20"/>
        </w:rPr>
        <w:t xml:space="preserve">Mounin P., (2002) « Le Liban bastion de l’enseignement francophone », in </w:t>
      </w:r>
      <w:r>
        <w:rPr>
          <w:i/>
          <w:iCs/>
          <w:kern w:val="0"/>
          <w:sz w:val="20"/>
          <w:szCs w:val="20"/>
        </w:rPr>
        <w:t>Une nouvelle idée de la francophonie</w:t>
      </w:r>
      <w:r>
        <w:rPr>
          <w:kern w:val="0"/>
          <w:sz w:val="20"/>
          <w:szCs w:val="20"/>
        </w:rPr>
        <w:t xml:space="preserve">, Paris, </w:t>
      </w:r>
      <w:r>
        <w:rPr>
          <w:i/>
          <w:iCs/>
          <w:kern w:val="0"/>
          <w:sz w:val="20"/>
          <w:szCs w:val="20"/>
        </w:rPr>
        <w:t>Les Cahiers de l’Orient</w:t>
      </w:r>
      <w:r>
        <w:rPr>
          <w:kern w:val="0"/>
          <w:sz w:val="20"/>
          <w:szCs w:val="20"/>
        </w:rPr>
        <w:t>, n°65,</w:t>
      </w:r>
      <w:r>
        <w:rPr>
          <w:kern w:val="0"/>
          <w:sz w:val="19"/>
          <w:szCs w:val="19"/>
        </w:rPr>
        <w:t xml:space="preserve"> pp. 119- 121. </w:t>
      </w:r>
    </w:p>
  </w:footnote>
  <w:footnote w:id="10">
    <w:p w:rsidR="006158FF" w:rsidRPr="00327DBC" w:rsidRDefault="006158FF" w:rsidP="006158FF">
      <w:pPr>
        <w:jc w:val="both"/>
        <w:rPr>
          <w:kern w:val="0"/>
          <w:sz w:val="20"/>
          <w:szCs w:val="20"/>
          <w:lang w:val="en-US"/>
        </w:rPr>
      </w:pPr>
      <w:r>
        <w:rPr>
          <w:kern w:val="0"/>
          <w:vertAlign w:val="superscript"/>
        </w:rPr>
        <w:footnoteRef/>
      </w:r>
      <w:r>
        <w:rPr>
          <w:kern w:val="0"/>
          <w:lang w:val="en-US"/>
        </w:rPr>
        <w:t xml:space="preserve"> </w:t>
      </w:r>
      <w:r w:rsidRPr="00327DBC">
        <w:rPr>
          <w:kern w:val="0"/>
          <w:sz w:val="20"/>
          <w:szCs w:val="20"/>
          <w:lang w:val="en-US"/>
        </w:rPr>
        <w:t>Azar C., www.France-amerique.com/infos/dossiers/francophonie/francophones.html</w:t>
      </w:r>
    </w:p>
  </w:footnote>
  <w:footnote w:id="11">
    <w:p w:rsidR="006158FF" w:rsidRPr="00327DBC" w:rsidRDefault="006158FF" w:rsidP="006158FF">
      <w:pPr>
        <w:keepNext/>
        <w:tabs>
          <w:tab w:val="left" w:pos="575"/>
        </w:tabs>
        <w:ind w:hanging="573"/>
        <w:jc w:val="both"/>
        <w:rPr>
          <w:kern w:val="0"/>
          <w:sz w:val="18"/>
          <w:szCs w:val="18"/>
        </w:rPr>
      </w:pPr>
      <w:r w:rsidRPr="002F2CF8">
        <w:rPr>
          <w:kern w:val="0"/>
          <w:sz w:val="20"/>
          <w:szCs w:val="20"/>
          <w:lang w:val="en-US"/>
        </w:rPr>
        <w:t xml:space="preserve">      </w:t>
      </w:r>
      <w:r w:rsidRPr="00327DBC">
        <w:rPr>
          <w:kern w:val="0"/>
          <w:sz w:val="18"/>
          <w:szCs w:val="18"/>
          <w:vertAlign w:val="superscript"/>
        </w:rPr>
        <w:footnoteRef/>
      </w:r>
      <w:r w:rsidRPr="00327DBC">
        <w:rPr>
          <w:kern w:val="0"/>
          <w:sz w:val="18"/>
          <w:szCs w:val="18"/>
        </w:rPr>
        <w:t xml:space="preserve">  Les représentations sont des images mentales, évaluatives, à l’égard des langues et des pratiques langagières. Elles ne sont ni justes, ni fausses, ni définitives, « dans le sens où elles permettent aux individus et aux groupes de s’auto-catégoriser et de déterminer les traits qu’ils jugent pertinents pour construire leur identité par rapport à d’autres. » Castelliotti V., Moore D., (2000), </w:t>
      </w:r>
      <w:r w:rsidRPr="00327DBC">
        <w:rPr>
          <w:i/>
          <w:iCs/>
          <w:kern w:val="0"/>
          <w:sz w:val="18"/>
          <w:szCs w:val="18"/>
        </w:rPr>
        <w:t xml:space="preserve">Représentations sociales des langues et enseignements, </w:t>
      </w:r>
      <w:r w:rsidRPr="00327DBC">
        <w:rPr>
          <w:kern w:val="0"/>
          <w:sz w:val="18"/>
          <w:szCs w:val="18"/>
        </w:rPr>
        <w:t>Conseil de l’Europe, Strasbourg</w:t>
      </w:r>
      <w:r w:rsidRPr="00327DBC">
        <w:rPr>
          <w:i/>
          <w:iCs/>
          <w:kern w:val="0"/>
          <w:sz w:val="18"/>
          <w:szCs w:val="18"/>
        </w:rPr>
        <w:t>,</w:t>
      </w:r>
      <w:r w:rsidRPr="00327DBC">
        <w:rPr>
          <w:kern w:val="0"/>
          <w:sz w:val="18"/>
          <w:szCs w:val="18"/>
        </w:rPr>
        <w:t xml:space="preserve"> p.21.</w:t>
      </w:r>
    </w:p>
  </w:footnote>
  <w:footnote w:id="12">
    <w:p w:rsidR="006158FF" w:rsidRPr="00327DBC" w:rsidRDefault="006158FF" w:rsidP="006158FF">
      <w:pPr>
        <w:jc w:val="both"/>
        <w:rPr>
          <w:spacing w:val="4"/>
          <w:kern w:val="0"/>
          <w:sz w:val="18"/>
          <w:szCs w:val="18"/>
        </w:rPr>
      </w:pPr>
      <w:r w:rsidRPr="00327DBC">
        <w:rPr>
          <w:kern w:val="0"/>
          <w:sz w:val="18"/>
          <w:szCs w:val="18"/>
          <w:vertAlign w:val="superscript"/>
        </w:rPr>
        <w:footnoteRef/>
      </w:r>
      <w:r w:rsidRPr="00327DBC">
        <w:rPr>
          <w:kern w:val="0"/>
          <w:sz w:val="18"/>
          <w:szCs w:val="18"/>
        </w:rPr>
        <w:t xml:space="preserve"> </w:t>
      </w:r>
      <w:r w:rsidRPr="00327DBC">
        <w:rPr>
          <w:spacing w:val="4"/>
          <w:kern w:val="0"/>
          <w:sz w:val="18"/>
          <w:szCs w:val="18"/>
        </w:rPr>
        <w:t xml:space="preserve">Nous pouvons classer les universités au Liban en quatre catégories : - la première (type A) concerne l’université publique l’Université libanaise (72961  étudiants). C’est la seule université qui donne le choix de la langue de scolarisation, le français ou l’anglais, à côté de l’arabe. </w:t>
      </w:r>
    </w:p>
    <w:p w:rsidR="006158FF" w:rsidRPr="00327DBC" w:rsidRDefault="006158FF" w:rsidP="006158FF">
      <w:pPr>
        <w:jc w:val="both"/>
        <w:rPr>
          <w:spacing w:val="4"/>
          <w:kern w:val="0"/>
          <w:sz w:val="18"/>
          <w:szCs w:val="18"/>
        </w:rPr>
      </w:pPr>
      <w:r w:rsidRPr="00327DBC">
        <w:rPr>
          <w:spacing w:val="4"/>
          <w:kern w:val="0"/>
          <w:sz w:val="18"/>
          <w:szCs w:val="18"/>
        </w:rPr>
        <w:t>- La deuxième (type B) regroupe les universités ayant le français pour principale langue d’enseignement : l’Université Saint-Joseph (9512 étudiants),</w:t>
      </w:r>
      <w:r w:rsidRPr="00327DBC">
        <w:rPr>
          <w:spacing w:val="4"/>
          <w:kern w:val="0"/>
          <w:sz w:val="18"/>
          <w:szCs w:val="18"/>
          <w:vertAlign w:val="superscript"/>
        </w:rPr>
        <w:t xml:space="preserve"> </w:t>
      </w:r>
      <w:r w:rsidRPr="00327DBC">
        <w:rPr>
          <w:spacing w:val="4"/>
          <w:kern w:val="0"/>
          <w:sz w:val="18"/>
          <w:szCs w:val="18"/>
        </w:rPr>
        <w:t>ou deuxième langue d’enseignement l’Université Balamand (3020 étudiants) et l’Université du Saint-Esprit de Kaslik (6617 étudiants).</w:t>
      </w:r>
      <w:r w:rsidRPr="00327DBC">
        <w:rPr>
          <w:spacing w:val="4"/>
          <w:kern w:val="0"/>
          <w:sz w:val="18"/>
          <w:szCs w:val="18"/>
        </w:rPr>
        <w:tab/>
      </w:r>
    </w:p>
    <w:p w:rsidR="006158FF" w:rsidRPr="00327DBC" w:rsidRDefault="006158FF" w:rsidP="006158FF">
      <w:pPr>
        <w:jc w:val="both"/>
        <w:rPr>
          <w:spacing w:val="4"/>
          <w:kern w:val="0"/>
          <w:sz w:val="18"/>
          <w:szCs w:val="18"/>
        </w:rPr>
      </w:pPr>
      <w:r w:rsidRPr="00327DBC">
        <w:rPr>
          <w:spacing w:val="4"/>
          <w:kern w:val="0"/>
          <w:sz w:val="18"/>
          <w:szCs w:val="18"/>
        </w:rPr>
        <w:t>- La troisième (type C) est celui des universités ayant l’anglais pour première langue d’enseignement : l’Université Américaine de Beyrouth (6806 étudiants); la Lebanese Americain University (4639 étudiants) ; l’Université de Notre Dame de Louaïzé (4709 étudiants).</w:t>
      </w:r>
      <w:r w:rsidRPr="00327DBC">
        <w:rPr>
          <w:spacing w:val="4"/>
          <w:kern w:val="0"/>
          <w:sz w:val="18"/>
          <w:szCs w:val="18"/>
        </w:rPr>
        <w:tab/>
      </w:r>
    </w:p>
    <w:p w:rsidR="006158FF" w:rsidRPr="00327DBC" w:rsidRDefault="006158FF" w:rsidP="006158FF">
      <w:pPr>
        <w:jc w:val="both"/>
        <w:rPr>
          <w:kern w:val="0"/>
          <w:sz w:val="18"/>
          <w:szCs w:val="18"/>
        </w:rPr>
      </w:pPr>
      <w:r w:rsidRPr="00327DBC">
        <w:rPr>
          <w:spacing w:val="4"/>
          <w:kern w:val="0"/>
          <w:sz w:val="18"/>
          <w:szCs w:val="18"/>
        </w:rPr>
        <w:t xml:space="preserve">- La quatrième (type D) est constitué par les universités ayant l’arabe pour première langue d’enseignement ; l’Université Arabe de Beyrouth (16758 étudiants), l’Université Islamique (2998 étudiants). </w:t>
      </w:r>
      <w:r w:rsidRPr="00327DBC">
        <w:rPr>
          <w:kern w:val="0"/>
          <w:sz w:val="18"/>
          <w:szCs w:val="18"/>
        </w:rPr>
        <w:tab/>
      </w:r>
    </w:p>
    <w:p w:rsidR="006158FF" w:rsidRPr="00327DBC" w:rsidRDefault="006158FF" w:rsidP="006158FF">
      <w:pPr>
        <w:jc w:val="both"/>
        <w:rPr>
          <w:kern w:val="0"/>
          <w:sz w:val="18"/>
          <w:szCs w:val="18"/>
        </w:rPr>
      </w:pPr>
      <w:r w:rsidRPr="00327DBC">
        <w:rPr>
          <w:kern w:val="0"/>
          <w:sz w:val="18"/>
          <w:szCs w:val="18"/>
        </w:rPr>
        <w:t>Source : Centre de recherche et de développement pédagogiques (CRDP),  2006/2007.</w:t>
      </w:r>
    </w:p>
  </w:footnote>
  <w:footnote w:id="13">
    <w:p w:rsidR="006158FF" w:rsidRDefault="006158FF" w:rsidP="006158FF">
      <w:pPr>
        <w:spacing w:line="240" w:lineRule="atLeast"/>
        <w:jc w:val="both"/>
        <w:rPr>
          <w:kern w:val="0"/>
        </w:rPr>
      </w:pPr>
      <w:r w:rsidRPr="00327DBC">
        <w:rPr>
          <w:kern w:val="0"/>
          <w:sz w:val="18"/>
          <w:szCs w:val="18"/>
          <w:vertAlign w:val="superscript"/>
        </w:rPr>
        <w:footnoteRef/>
      </w:r>
      <w:r w:rsidRPr="00327DBC">
        <w:rPr>
          <w:kern w:val="0"/>
          <w:sz w:val="18"/>
          <w:szCs w:val="18"/>
        </w:rPr>
        <w:t xml:space="preserve"> Kasparian C., (2003), </w:t>
      </w:r>
      <w:r w:rsidRPr="00327DBC">
        <w:rPr>
          <w:i/>
          <w:iCs/>
          <w:kern w:val="0"/>
          <w:sz w:val="18"/>
          <w:szCs w:val="18"/>
        </w:rPr>
        <w:t>L’entrée des jeunes libanais dans la vie active et l’émigration</w:t>
      </w:r>
      <w:r w:rsidRPr="00327DBC">
        <w:rPr>
          <w:kern w:val="0"/>
          <w:sz w:val="18"/>
          <w:szCs w:val="18"/>
        </w:rPr>
        <w:t>, Presse de l’Université Saint-Joseph.</w:t>
      </w:r>
      <w:r>
        <w:rPr>
          <w:kern w:val="0"/>
          <w:sz w:val="18"/>
          <w:szCs w:val="18"/>
        </w:rPr>
        <w:t xml:space="preserve"> </w:t>
      </w:r>
    </w:p>
  </w:footnote>
  <w:footnote w:id="14">
    <w:p w:rsidR="006158FF" w:rsidRDefault="006158FF" w:rsidP="006158FF">
      <w:pPr>
        <w:jc w:val="both"/>
        <w:rPr>
          <w:kern w:val="0"/>
        </w:rPr>
      </w:pPr>
      <w:r>
        <w:rPr>
          <w:kern w:val="0"/>
          <w:vertAlign w:val="superscript"/>
        </w:rPr>
        <w:footnoteRef/>
      </w:r>
      <w:r>
        <w:rPr>
          <w:kern w:val="0"/>
        </w:rPr>
        <w:t xml:space="preserve"> </w:t>
      </w:r>
      <w:r>
        <w:rPr>
          <w:kern w:val="0"/>
          <w:sz w:val="20"/>
          <w:szCs w:val="20"/>
        </w:rPr>
        <w:t xml:space="preserve">Site officiel de l’USJ, spcom @ usj.edu.lb. </w:t>
      </w:r>
    </w:p>
  </w:footnote>
  <w:footnote w:id="15">
    <w:p w:rsidR="006158FF" w:rsidRPr="00327DBC" w:rsidRDefault="006158FF" w:rsidP="006158FF">
      <w:pPr>
        <w:jc w:val="both"/>
        <w:rPr>
          <w:kern w:val="0"/>
          <w:sz w:val="18"/>
          <w:szCs w:val="18"/>
        </w:rPr>
      </w:pPr>
      <w:r w:rsidRPr="00327DBC">
        <w:rPr>
          <w:kern w:val="0"/>
          <w:sz w:val="18"/>
          <w:szCs w:val="18"/>
          <w:vertAlign w:val="superscript"/>
        </w:rPr>
        <w:footnoteRef/>
      </w:r>
      <w:r w:rsidRPr="00327DBC">
        <w:rPr>
          <w:kern w:val="0"/>
          <w:sz w:val="18"/>
          <w:szCs w:val="18"/>
        </w:rPr>
        <w:t xml:space="preserve"> </w:t>
      </w:r>
      <w:r w:rsidRPr="00327DBC">
        <w:rPr>
          <w:spacing w:val="4"/>
          <w:kern w:val="0"/>
          <w:sz w:val="18"/>
          <w:szCs w:val="18"/>
        </w:rPr>
        <w:t xml:space="preserve">Il existe au Liban 3 secteurs d’enseignement : </w:t>
      </w:r>
    </w:p>
    <w:p w:rsidR="006158FF" w:rsidRPr="00327DBC" w:rsidRDefault="006158FF" w:rsidP="006158FF">
      <w:pPr>
        <w:jc w:val="both"/>
        <w:rPr>
          <w:kern w:val="0"/>
          <w:sz w:val="18"/>
          <w:szCs w:val="18"/>
        </w:rPr>
      </w:pPr>
      <w:r w:rsidRPr="00327DBC">
        <w:rPr>
          <w:kern w:val="0"/>
          <w:sz w:val="18"/>
          <w:szCs w:val="18"/>
        </w:rPr>
        <w:t xml:space="preserve">- le secteur public qui accueille 35.7% des élèves. Il s’est répandu à partir des années cinquante sur l’ensemble du territoire libanais notamment dans les zones économiquement pauvres. </w:t>
      </w:r>
      <w:r w:rsidRPr="00327DBC">
        <w:rPr>
          <w:kern w:val="0"/>
          <w:sz w:val="18"/>
          <w:szCs w:val="18"/>
        </w:rPr>
        <w:tab/>
        <w:t xml:space="preserve">- Le secteur privé subventionné (gratuit ou presque pour les familles, mais limité aux classes préscolaires et primaires). Il est  instauré à partir de 1956 pour combler le manque d’écoles officielles dans les quartiers défavorisés ou régions rurales sous développées, il est fréquenté par  12.6% des élèves.  </w:t>
      </w:r>
    </w:p>
    <w:p w:rsidR="006158FF" w:rsidRPr="00327DBC" w:rsidRDefault="006158FF" w:rsidP="006158FF">
      <w:pPr>
        <w:jc w:val="both"/>
        <w:rPr>
          <w:kern w:val="0"/>
          <w:sz w:val="18"/>
          <w:szCs w:val="18"/>
        </w:rPr>
      </w:pPr>
      <w:r w:rsidRPr="00327DBC">
        <w:rPr>
          <w:kern w:val="0"/>
          <w:sz w:val="18"/>
          <w:szCs w:val="18"/>
        </w:rPr>
        <w:t>- Le secteur privé payant qui forme 51.7% des élèves. Il comprend d’une part le privé national laïc et le privé religieux, d’autre part, le privé étranger : anglais, allemand et surtout français. Mais seule la France a un réseau scolaire très dévelop</w:t>
      </w:r>
      <w:r>
        <w:rPr>
          <w:kern w:val="0"/>
          <w:sz w:val="18"/>
          <w:szCs w:val="18"/>
        </w:rPr>
        <w:t xml:space="preserve">pé où sont scolarisés quelques </w:t>
      </w:r>
      <w:r w:rsidRPr="00327DBC">
        <w:rPr>
          <w:kern w:val="0"/>
          <w:sz w:val="18"/>
          <w:szCs w:val="18"/>
        </w:rPr>
        <w:t xml:space="preserve">10. 000 élèves, notamment six établissements de la Mission laïque française. </w:t>
      </w:r>
    </w:p>
  </w:footnote>
  <w:footnote w:id="16">
    <w:p w:rsidR="006158FF" w:rsidRPr="00327DBC" w:rsidRDefault="006158FF" w:rsidP="006158FF">
      <w:pPr>
        <w:jc w:val="both"/>
        <w:rPr>
          <w:kern w:val="0"/>
          <w:sz w:val="18"/>
          <w:szCs w:val="18"/>
        </w:rPr>
      </w:pPr>
      <w:r w:rsidRPr="00327DBC">
        <w:rPr>
          <w:kern w:val="0"/>
          <w:sz w:val="18"/>
          <w:szCs w:val="18"/>
          <w:vertAlign w:val="superscript"/>
        </w:rPr>
        <w:footnoteRef/>
      </w:r>
      <w:r w:rsidRPr="00327DBC">
        <w:rPr>
          <w:kern w:val="0"/>
          <w:sz w:val="18"/>
          <w:szCs w:val="18"/>
        </w:rPr>
        <w:t xml:space="preserve"> Source : Statistiques du CRDP, 2008. </w:t>
      </w:r>
    </w:p>
  </w:footnote>
  <w:footnote w:id="17">
    <w:p w:rsidR="006158FF" w:rsidRDefault="006158FF" w:rsidP="006158FF">
      <w:pPr>
        <w:jc w:val="both"/>
        <w:rPr>
          <w:kern w:val="0"/>
        </w:rPr>
      </w:pPr>
      <w:r w:rsidRPr="00327DBC">
        <w:rPr>
          <w:kern w:val="0"/>
          <w:sz w:val="18"/>
          <w:szCs w:val="18"/>
          <w:vertAlign w:val="superscript"/>
        </w:rPr>
        <w:footnoteRef/>
      </w:r>
      <w:r w:rsidRPr="00327DBC">
        <w:rPr>
          <w:kern w:val="0"/>
          <w:sz w:val="18"/>
          <w:szCs w:val="18"/>
        </w:rPr>
        <w:t xml:space="preserve"> BerryW, Helou S., Baalbaki H., Barakat D. (1998), </w:t>
      </w:r>
      <w:r w:rsidRPr="00327DBC">
        <w:rPr>
          <w:i/>
          <w:iCs/>
          <w:kern w:val="0"/>
          <w:sz w:val="18"/>
          <w:szCs w:val="18"/>
        </w:rPr>
        <w:t>Le français à l’Université  libanaise, Etat des lieux et perspectives</w:t>
      </w:r>
      <w:r w:rsidRPr="00327DBC">
        <w:rPr>
          <w:kern w:val="0"/>
          <w:sz w:val="18"/>
          <w:szCs w:val="18"/>
        </w:rPr>
        <w:t xml:space="preserve">, UL. - Nasr B. et Versieux C., (2001), le </w:t>
      </w:r>
      <w:r w:rsidRPr="00327DBC">
        <w:rPr>
          <w:i/>
          <w:iCs/>
          <w:kern w:val="0"/>
          <w:sz w:val="18"/>
          <w:szCs w:val="18"/>
        </w:rPr>
        <w:t>Rapport sur la situation de l’enseignement du/ en français à l’Université  Libanaise</w:t>
      </w:r>
      <w:r w:rsidRPr="00327DBC">
        <w:rPr>
          <w:kern w:val="0"/>
          <w:sz w:val="18"/>
          <w:szCs w:val="18"/>
        </w:rPr>
        <w:t>, Beyrouth, AUF.</w:t>
      </w:r>
    </w:p>
  </w:footnote>
  <w:footnote w:id="18">
    <w:p w:rsidR="006158FF" w:rsidRDefault="006158FF" w:rsidP="006158FF">
      <w:pPr>
        <w:jc w:val="both"/>
        <w:rPr>
          <w:kern w:val="0"/>
        </w:rPr>
      </w:pPr>
      <w:r>
        <w:rPr>
          <w:kern w:val="0"/>
          <w:vertAlign w:val="superscript"/>
        </w:rPr>
        <w:footnoteRef/>
      </w:r>
      <w:r>
        <w:rPr>
          <w:kern w:val="0"/>
        </w:rPr>
        <w:t xml:space="preserve"> </w:t>
      </w:r>
      <w:r>
        <w:rPr>
          <w:kern w:val="0"/>
          <w:sz w:val="20"/>
          <w:szCs w:val="20"/>
        </w:rPr>
        <w:t xml:space="preserve">Le franbanais ou le franco-libanais est le mélange des codes arabe/ français. Il s’agit d’une pratique linguistique très fréquente dans le milieu francophone libanais. En effet, rares sont les Libanais qui parlent exclusivement en français. </w:t>
      </w:r>
    </w:p>
  </w:footnote>
  <w:footnote w:id="19">
    <w:p w:rsidR="006158FF" w:rsidRDefault="006158FF" w:rsidP="006158FF">
      <w:pPr>
        <w:rPr>
          <w:kern w:val="0"/>
        </w:rPr>
      </w:pPr>
      <w:r>
        <w:rPr>
          <w:kern w:val="0"/>
          <w:vertAlign w:val="superscript"/>
        </w:rPr>
        <w:footnoteRef/>
      </w:r>
      <w:r>
        <w:rPr>
          <w:kern w:val="0"/>
        </w:rPr>
        <w:t xml:space="preserve"> </w:t>
      </w:r>
      <w:r>
        <w:rPr>
          <w:kern w:val="0"/>
          <w:sz w:val="20"/>
          <w:szCs w:val="20"/>
        </w:rPr>
        <w:tab/>
        <w:t xml:space="preserve"> </w:t>
      </w:r>
      <w:r>
        <w:rPr>
          <w:i/>
          <w:iCs/>
          <w:kern w:val="0"/>
          <w:sz w:val="20"/>
          <w:szCs w:val="20"/>
        </w:rPr>
        <w:t xml:space="preserve"> </w:t>
      </w:r>
      <w:r>
        <w:rPr>
          <w:kern w:val="0"/>
          <w:sz w:val="20"/>
          <w:szCs w:val="20"/>
        </w:rPr>
        <w:t>R.Chaudenson, (2004),</w:t>
      </w:r>
      <w:r>
        <w:rPr>
          <w:i/>
          <w:iCs/>
          <w:kern w:val="0"/>
          <w:sz w:val="20"/>
          <w:szCs w:val="20"/>
        </w:rPr>
        <w:t xml:space="preserve"> Mondialisation : la langue française a-t-elle encore un avenir ? </w:t>
      </w:r>
      <w:r>
        <w:rPr>
          <w:kern w:val="0"/>
          <w:sz w:val="20"/>
          <w:szCs w:val="20"/>
        </w:rPr>
        <w:t xml:space="preserve">Paris, Didier Erudition,  pp.157-159.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8B" w:rsidRDefault="00F0458B">
    <w:pPr>
      <w:tabs>
        <w:tab w:val="center" w:pos="4512"/>
        <w:tab w:val="right" w:pos="9025"/>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rsids>
    <w:rsidRoot w:val="006158FF"/>
    <w:rsid w:val="004A2233"/>
    <w:rsid w:val="006158FF"/>
    <w:rsid w:val="006A369B"/>
    <w:rsid w:val="008D7E9E"/>
    <w:rsid w:val="00AE0050"/>
    <w:rsid w:val="00F0458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FF"/>
    <w:pPr>
      <w:widowControl w:val="0"/>
      <w:suppressAutoHyphens/>
      <w:overflowPunct w:val="0"/>
      <w:adjustRightInd w:val="0"/>
    </w:pPr>
    <w:rPr>
      <w:rFonts w:ascii="Times New Roman" w:eastAsia="Times New Roman" w:hAnsi="Times New Roman"/>
      <w:kern w:val="28"/>
      <w:sz w:val="24"/>
      <w:szCs w:val="24"/>
    </w:rPr>
  </w:style>
  <w:style w:type="paragraph" w:styleId="Titre8">
    <w:name w:val="heading 8"/>
    <w:basedOn w:val="Normal"/>
    <w:next w:val="Normal"/>
    <w:link w:val="Titre8Car"/>
    <w:uiPriority w:val="9"/>
    <w:unhideWhenUsed/>
    <w:qFormat/>
    <w:rsid w:val="006158FF"/>
    <w:pPr>
      <w:widowControl/>
      <w:suppressAutoHyphens w:val="0"/>
      <w:overflowPunct/>
      <w:adjustRightInd/>
      <w:spacing w:before="240" w:after="60"/>
      <w:outlineLvl w:val="7"/>
    </w:pPr>
    <w:rPr>
      <w:rFonts w:ascii="Calibri" w:hAnsi="Calibri"/>
      <w:i/>
      <w:iCs/>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uiPriority w:val="9"/>
    <w:rsid w:val="006158FF"/>
    <w:rPr>
      <w:rFonts w:ascii="Calibri" w:eastAsia="Times New Roman" w:hAnsi="Calibri" w:cs="Times New Roman"/>
      <w:i/>
      <w:iCs/>
      <w:sz w:val="24"/>
      <w:szCs w:val="24"/>
      <w:lang w:eastAsia="fr-FR"/>
    </w:rPr>
  </w:style>
  <w:style w:type="character" w:styleId="Accentuation">
    <w:name w:val="Emphasis"/>
    <w:basedOn w:val="Policepardfaut"/>
    <w:uiPriority w:val="20"/>
    <w:qFormat/>
    <w:rsid w:val="006158FF"/>
    <w:rPr>
      <w:b/>
      <w:bCs/>
      <w:i w:val="0"/>
      <w:iCs w:val="0"/>
    </w:rPr>
  </w:style>
  <w:style w:type="character" w:customStyle="1" w:styleId="ft">
    <w:name w:val="ft"/>
    <w:basedOn w:val="Policepardfaut"/>
    <w:rsid w:val="006158FF"/>
  </w:style>
  <w:style w:type="paragraph" w:styleId="Notedebasdepage">
    <w:name w:val="footnote text"/>
    <w:basedOn w:val="Normal"/>
    <w:link w:val="NotedebasdepageCar"/>
    <w:semiHidden/>
    <w:rsid w:val="006158FF"/>
    <w:pPr>
      <w:widowControl/>
      <w:suppressAutoHyphens w:val="0"/>
      <w:overflowPunct/>
      <w:adjustRightInd/>
      <w:jc w:val="both"/>
    </w:pPr>
    <w:rPr>
      <w:kern w:val="0"/>
      <w:sz w:val="20"/>
      <w:szCs w:val="19"/>
    </w:rPr>
  </w:style>
  <w:style w:type="character" w:customStyle="1" w:styleId="NotedebasdepageCar">
    <w:name w:val="Note de bas de page Car"/>
    <w:basedOn w:val="Policepardfaut"/>
    <w:link w:val="Notedebasdepage"/>
    <w:semiHidden/>
    <w:rsid w:val="006158FF"/>
    <w:rPr>
      <w:rFonts w:ascii="Times New Roman" w:eastAsia="Times New Roman" w:hAnsi="Times New Roman" w:cs="Times New Roman"/>
      <w:sz w:val="20"/>
      <w:szCs w:val="19"/>
      <w:lang w:eastAsia="fr-FR"/>
    </w:rPr>
  </w:style>
  <w:style w:type="paragraph" w:styleId="Corpsdetexte">
    <w:name w:val="Body Text"/>
    <w:basedOn w:val="Normal"/>
    <w:link w:val="CorpsdetexteCar"/>
    <w:semiHidden/>
    <w:rsid w:val="006158FF"/>
    <w:pPr>
      <w:widowControl/>
      <w:suppressAutoHyphens w:val="0"/>
      <w:overflowPunct/>
      <w:adjustRightInd/>
      <w:jc w:val="both"/>
    </w:pPr>
    <w:rPr>
      <w:kern w:val="0"/>
    </w:rPr>
  </w:style>
  <w:style w:type="character" w:customStyle="1" w:styleId="CorpsdetexteCar">
    <w:name w:val="Corps de texte Car"/>
    <w:basedOn w:val="Policepardfaut"/>
    <w:link w:val="Corpsdetexte"/>
    <w:semiHidden/>
    <w:rsid w:val="006158FF"/>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ban-cultur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ibanvision.com/publicite-beyrouth.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7927</Words>
  <Characters>43604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51429</CharactersWithSpaces>
  <SharedDoc>false</SharedDoc>
  <HLinks>
    <vt:vector size="12" baseType="variant">
      <vt:variant>
        <vt:i4>6029402</vt:i4>
      </vt:variant>
      <vt:variant>
        <vt:i4>0</vt:i4>
      </vt:variant>
      <vt:variant>
        <vt:i4>0</vt:i4>
      </vt:variant>
      <vt:variant>
        <vt:i4>5</vt:i4>
      </vt:variant>
      <vt:variant>
        <vt:lpwstr>http://www.liban-culture.org/</vt:lpwstr>
      </vt:variant>
      <vt:variant>
        <vt:lpwstr/>
      </vt:variant>
      <vt:variant>
        <vt:i4>393245</vt:i4>
      </vt:variant>
      <vt:variant>
        <vt:i4>0</vt:i4>
      </vt:variant>
      <vt:variant>
        <vt:i4>0</vt:i4>
      </vt:variant>
      <vt:variant>
        <vt:i4>5</vt:i4>
      </vt:variant>
      <vt:variant>
        <vt:lpwstr>http://www.libanvision.com/publicite-beyrouth.htm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SA.Hafez</dc:creator>
  <cp:keywords/>
  <dc:description/>
  <cp:lastModifiedBy>Admin</cp:lastModifiedBy>
  <cp:revision>2</cp:revision>
  <dcterms:created xsi:type="dcterms:W3CDTF">2017-10-19T10:31:00Z</dcterms:created>
  <dcterms:modified xsi:type="dcterms:W3CDTF">2017-10-19T10:31:00Z</dcterms:modified>
</cp:coreProperties>
</file>